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AA" w:rsidRDefault="00D742AA" w:rsidP="00D742AA">
      <w:pPr>
        <w:jc w:val="center"/>
        <w:rPr>
          <w:rFonts w:ascii="Arial" w:hAnsi="Arial" w:cs="Arial"/>
          <w:b/>
          <w:sz w:val="40"/>
          <w:szCs w:val="40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40"/>
          <w:szCs w:val="40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40"/>
          <w:szCs w:val="40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40"/>
          <w:szCs w:val="40"/>
        </w:rPr>
      </w:pPr>
    </w:p>
    <w:p w:rsidR="00D742AA" w:rsidRDefault="000D0BF3" w:rsidP="00D742AA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Skarga na przewlekłość postępowania</w:t>
      </w:r>
    </w:p>
    <w:p w:rsidR="00310048" w:rsidRPr="00310048" w:rsidRDefault="00310048" w:rsidP="00D742AA">
      <w:pPr>
        <w:jc w:val="center"/>
        <w:rPr>
          <w:rFonts w:ascii="Arial" w:hAnsi="Arial" w:cs="Arial"/>
          <w:b/>
          <w:sz w:val="32"/>
          <w:szCs w:val="32"/>
        </w:rPr>
      </w:pPr>
      <w:r w:rsidRPr="00310048">
        <w:rPr>
          <w:rFonts w:ascii="Arial" w:hAnsi="Arial" w:cs="Arial"/>
          <w:b/>
          <w:sz w:val="32"/>
          <w:szCs w:val="32"/>
        </w:rPr>
        <w:t xml:space="preserve">na tle ewidencji spraw w sądach powszechnych </w:t>
      </w:r>
      <w:r>
        <w:rPr>
          <w:rFonts w:ascii="Arial" w:hAnsi="Arial" w:cs="Arial"/>
          <w:b/>
          <w:sz w:val="32"/>
          <w:szCs w:val="32"/>
        </w:rPr>
        <w:br/>
      </w:r>
      <w:r w:rsidRPr="00310048">
        <w:rPr>
          <w:rFonts w:ascii="Arial" w:hAnsi="Arial" w:cs="Arial"/>
          <w:b/>
          <w:sz w:val="32"/>
          <w:szCs w:val="32"/>
        </w:rPr>
        <w:t>i czasu trwania postępowań sądowych</w:t>
      </w:r>
    </w:p>
    <w:p w:rsidR="00AD1ADC" w:rsidRDefault="00D742AA" w:rsidP="00D742A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w latach 2010-2014</w:t>
      </w:r>
    </w:p>
    <w:p w:rsidR="009847C0" w:rsidRPr="00D742AA" w:rsidRDefault="009847C0" w:rsidP="00D742AA">
      <w:pPr>
        <w:jc w:val="center"/>
        <w:rPr>
          <w:rFonts w:ascii="Arial" w:hAnsi="Arial" w:cs="Arial"/>
          <w:b/>
          <w:sz w:val="32"/>
          <w:szCs w:val="32"/>
        </w:rPr>
      </w:pPr>
    </w:p>
    <w:p w:rsidR="00D742AA" w:rsidRPr="009847C0" w:rsidRDefault="00D742AA" w:rsidP="00D742AA">
      <w:pPr>
        <w:jc w:val="center"/>
        <w:rPr>
          <w:rFonts w:ascii="Arial" w:hAnsi="Arial" w:cs="Arial"/>
          <w:b/>
          <w:sz w:val="24"/>
          <w:szCs w:val="24"/>
        </w:rPr>
      </w:pPr>
      <w:r w:rsidRPr="009847C0">
        <w:rPr>
          <w:rFonts w:ascii="Arial" w:hAnsi="Arial" w:cs="Arial"/>
          <w:b/>
          <w:sz w:val="24"/>
          <w:szCs w:val="24"/>
        </w:rPr>
        <w:t>(marzec 2015)</w:t>
      </w: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740F92" w:rsidRDefault="00740F92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C5779" w:rsidRDefault="00DC5779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3C288D" w:rsidRDefault="003C288D" w:rsidP="00D742AA">
      <w:pPr>
        <w:jc w:val="center"/>
        <w:rPr>
          <w:rFonts w:ascii="Arial" w:hAnsi="Arial" w:cs="Arial"/>
          <w:b/>
          <w:sz w:val="28"/>
          <w:szCs w:val="28"/>
        </w:rPr>
      </w:pPr>
    </w:p>
    <w:p w:rsidR="00D742AA" w:rsidRDefault="00D742AA" w:rsidP="00D742AA">
      <w:pPr>
        <w:jc w:val="center"/>
        <w:rPr>
          <w:rFonts w:ascii="Arial" w:hAnsi="Arial" w:cs="Arial"/>
          <w:b/>
          <w:sz w:val="24"/>
          <w:szCs w:val="24"/>
        </w:rPr>
      </w:pPr>
    </w:p>
    <w:p w:rsidR="00B4357B" w:rsidRDefault="00B4357B" w:rsidP="00D742AA">
      <w:pPr>
        <w:jc w:val="center"/>
        <w:rPr>
          <w:rFonts w:ascii="Arial" w:hAnsi="Arial" w:cs="Arial"/>
          <w:b/>
          <w:sz w:val="24"/>
          <w:szCs w:val="24"/>
        </w:rPr>
      </w:pPr>
    </w:p>
    <w:p w:rsidR="00E60677" w:rsidRPr="00D742AA" w:rsidRDefault="00233F50" w:rsidP="00D742AA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509C44D" wp14:editId="22BC9651">
                <wp:simplePos x="0" y="0"/>
                <wp:positionH relativeFrom="column">
                  <wp:posOffset>-1024254</wp:posOffset>
                </wp:positionH>
                <wp:positionV relativeFrom="paragraph">
                  <wp:posOffset>19050</wp:posOffset>
                </wp:positionV>
                <wp:extent cx="7943850" cy="1428750"/>
                <wp:effectExtent l="0" t="0" r="0" b="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3850" cy="14287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6" o:spid="_x0000_s1026" style="position:absolute;margin-left:-80.65pt;margin-top:1.5pt;width:625.5pt;height:11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" fillcolor="#c2d69b [1942]" stroked="f" strokeweight="2pt"/>
            </w:pict>
          </mc:Fallback>
        </mc:AlternateContent>
      </w:r>
      <w:bookmarkEnd w:id="0"/>
    </w:p>
    <w:p w:rsidR="00D742AA" w:rsidRPr="00D742AA" w:rsidRDefault="00D742AA" w:rsidP="00D742AA">
      <w:pPr>
        <w:jc w:val="center"/>
        <w:rPr>
          <w:rFonts w:ascii="Arial" w:hAnsi="Arial" w:cs="Arial"/>
          <w:b/>
          <w:sz w:val="24"/>
          <w:szCs w:val="24"/>
        </w:rPr>
      </w:pPr>
      <w:r w:rsidRPr="00D742AA">
        <w:rPr>
          <w:rFonts w:ascii="Arial" w:hAnsi="Arial" w:cs="Arial"/>
          <w:b/>
          <w:sz w:val="24"/>
          <w:szCs w:val="24"/>
        </w:rPr>
        <w:t>Departament Strategii i Funduszy Europejskich</w:t>
      </w:r>
    </w:p>
    <w:p w:rsidR="00D742AA" w:rsidRDefault="00D742AA" w:rsidP="00D742AA">
      <w:pPr>
        <w:jc w:val="center"/>
        <w:rPr>
          <w:rFonts w:ascii="Arial" w:hAnsi="Arial" w:cs="Arial"/>
          <w:sz w:val="24"/>
          <w:szCs w:val="24"/>
        </w:rPr>
      </w:pPr>
      <w:r w:rsidRPr="00D742AA">
        <w:rPr>
          <w:rFonts w:ascii="Arial" w:hAnsi="Arial" w:cs="Arial"/>
          <w:sz w:val="24"/>
          <w:szCs w:val="24"/>
        </w:rPr>
        <w:t>Wydział Statystycznej Informacji Zarządczej</w:t>
      </w:r>
    </w:p>
    <w:p w:rsidR="00B4357B" w:rsidRDefault="00B4357B" w:rsidP="00872D8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mallCaps/>
          <w:sz w:val="24"/>
          <w:szCs w:val="24"/>
        </w:rPr>
        <w:sectPr w:rsidR="00B4357B" w:rsidSect="00B4357B">
          <w:footerReference w:type="default" r:id="rId9"/>
          <w:pgSz w:w="11906" w:h="16838"/>
          <w:pgMar w:top="1418" w:right="1418" w:bottom="567" w:left="1418" w:header="709" w:footer="709" w:gutter="0"/>
          <w:cols w:space="708"/>
          <w:titlePg/>
          <w:docGrid w:linePitch="360"/>
        </w:sectPr>
      </w:pPr>
    </w:p>
    <w:p w:rsidR="00872D86" w:rsidRDefault="00872D86" w:rsidP="00872D8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mallCaps/>
          <w:sz w:val="24"/>
          <w:szCs w:val="24"/>
        </w:rPr>
      </w:pPr>
      <w:r w:rsidRPr="00872D86">
        <w:rPr>
          <w:rFonts w:ascii="Arial" w:hAnsi="Arial" w:cs="Arial"/>
          <w:b/>
          <w:smallCaps/>
          <w:sz w:val="24"/>
          <w:szCs w:val="24"/>
        </w:rPr>
        <w:lastRenderedPageBreak/>
        <w:t xml:space="preserve">Ewidencja </w:t>
      </w:r>
      <w:r w:rsidR="00560996">
        <w:rPr>
          <w:rFonts w:ascii="Arial" w:hAnsi="Arial" w:cs="Arial"/>
          <w:b/>
          <w:smallCaps/>
          <w:sz w:val="24"/>
          <w:szCs w:val="24"/>
        </w:rPr>
        <w:t>spraw w sądach powszechny</w:t>
      </w:r>
      <w:r w:rsidR="00823DCD">
        <w:rPr>
          <w:rFonts w:ascii="Arial" w:hAnsi="Arial" w:cs="Arial"/>
          <w:b/>
          <w:smallCaps/>
          <w:sz w:val="24"/>
          <w:szCs w:val="24"/>
        </w:rPr>
        <w:t>ch</w:t>
      </w:r>
    </w:p>
    <w:p w:rsidR="001F64FE" w:rsidRDefault="001F64FE" w:rsidP="00560996">
      <w:pPr>
        <w:pStyle w:val="Akapitzlist"/>
        <w:ind w:left="1068"/>
        <w:jc w:val="both"/>
        <w:rPr>
          <w:rFonts w:ascii="Arial" w:hAnsi="Arial" w:cs="Arial"/>
          <w:b/>
          <w:smallCaps/>
          <w:sz w:val="24"/>
          <w:szCs w:val="24"/>
        </w:rPr>
      </w:pPr>
    </w:p>
    <w:p w:rsidR="000160AF" w:rsidRDefault="000160AF" w:rsidP="000160AF">
      <w:pPr>
        <w:jc w:val="both"/>
        <w:rPr>
          <w:rFonts w:ascii="Arial" w:hAnsi="Arial" w:cs="Arial"/>
        </w:rPr>
      </w:pPr>
      <w:r w:rsidRPr="000160AF">
        <w:rPr>
          <w:rFonts w:ascii="Arial" w:hAnsi="Arial" w:cs="Arial"/>
        </w:rPr>
        <w:t xml:space="preserve">Ogólna </w:t>
      </w:r>
      <w:r>
        <w:rPr>
          <w:rFonts w:ascii="Arial" w:hAnsi="Arial" w:cs="Arial"/>
        </w:rPr>
        <w:t>ewidencja spraw w sądach powszechnych zawiera informacje na temat wpływu, załatwienia i pozostałości spraw</w:t>
      </w:r>
      <w:r w:rsidR="007D5708">
        <w:rPr>
          <w:rFonts w:ascii="Arial" w:hAnsi="Arial" w:cs="Arial"/>
        </w:rPr>
        <w:t xml:space="preserve"> w</w:t>
      </w:r>
      <w:r w:rsidR="0022700C">
        <w:rPr>
          <w:rFonts w:ascii="Arial" w:hAnsi="Arial" w:cs="Arial"/>
        </w:rPr>
        <w:t xml:space="preserve">szystkich rodzajów i instancji. W liczbach tych zawierają się zatem zarówno sprawy procesowe jak i sprawy nieprocesowe czy rejestrowe </w:t>
      </w:r>
      <w:r w:rsidR="008B42FF">
        <w:rPr>
          <w:rFonts w:ascii="Arial" w:hAnsi="Arial" w:cs="Arial"/>
        </w:rPr>
        <w:t xml:space="preserve">rozpatrywane w pierwszej oraz drugiej instancji. </w:t>
      </w:r>
      <w:r w:rsidR="0068037C">
        <w:rPr>
          <w:rFonts w:ascii="Arial" w:hAnsi="Arial" w:cs="Arial"/>
        </w:rPr>
        <w:t>Uwzględniane są równie</w:t>
      </w:r>
      <w:r w:rsidR="00977091">
        <w:rPr>
          <w:rFonts w:ascii="Arial" w:hAnsi="Arial" w:cs="Arial"/>
        </w:rPr>
        <w:t>ż</w:t>
      </w:r>
      <w:r w:rsidR="0068037C">
        <w:rPr>
          <w:rFonts w:ascii="Arial" w:hAnsi="Arial" w:cs="Arial"/>
        </w:rPr>
        <w:t xml:space="preserve"> tzw. ponowne wpisy lub załatwienia spraw wynikające z różnego rodzaju zmian organizacyjnych lub legislacyjnych. </w:t>
      </w:r>
      <w:r w:rsidR="008B42FF">
        <w:rPr>
          <w:rFonts w:ascii="Arial" w:hAnsi="Arial" w:cs="Arial"/>
        </w:rPr>
        <w:t xml:space="preserve"> </w:t>
      </w:r>
    </w:p>
    <w:p w:rsidR="005E284B" w:rsidRPr="000160AF" w:rsidRDefault="005E284B" w:rsidP="000160AF">
      <w:pPr>
        <w:jc w:val="both"/>
        <w:rPr>
          <w:rFonts w:ascii="Arial" w:hAnsi="Arial" w:cs="Arial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4"/>
        <w:gridCol w:w="1286"/>
        <w:gridCol w:w="60"/>
        <w:gridCol w:w="1225"/>
        <w:gridCol w:w="122"/>
        <w:gridCol w:w="1163"/>
        <w:gridCol w:w="183"/>
        <w:gridCol w:w="1102"/>
        <w:gridCol w:w="245"/>
        <w:gridCol w:w="1347"/>
      </w:tblGrid>
      <w:tr w:rsidR="003C288D" w:rsidRPr="003C288D" w:rsidTr="005E284B">
        <w:trPr>
          <w:trHeight w:val="510"/>
        </w:trPr>
        <w:tc>
          <w:tcPr>
            <w:tcW w:w="908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0160AF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Tabl. 1. </w:t>
            </w:r>
            <w:r w:rsidR="003C288D"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Ewidencja spraw w sądach powszechnych w latach 2010 - 2014 (według rodzajów spraw)</w:t>
            </w:r>
          </w:p>
        </w:tc>
      </w:tr>
      <w:tr w:rsidR="003C288D" w:rsidRPr="003C288D" w:rsidTr="005E284B">
        <w:trPr>
          <w:trHeight w:val="555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Wyszczególnienie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2014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Wpływ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12 934 771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13 584 064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14 040 616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15 169 808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14 553 725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 tego spraw: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karnych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2 718 121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2 598 628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2 649 609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2 806 186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2 793 577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cywilnych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7 591 387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8 085 791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8 277 470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9 013 781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8 460 422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rodzinnych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1 315 246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1 321 993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1 347 716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1 406 613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1 396 338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110 589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111 560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120 402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120 021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156 572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ubezpieczeniowych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173 613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170 768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200 822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228 844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213 016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gospodarczych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1 025 815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1 295 324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1 444 597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1 594 363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1 533 800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Załatwienie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12 791 322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13 385 551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14 105 063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14 575 830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14 754 469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 tego spraw: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karnych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2 584 532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2 621 187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2 676 184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2 734 134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2 804 233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cywilnych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7 606 355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7 919 920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8 380 921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8 601 032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8 621 741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rodzinnych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1 316 197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1 310 464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1 352 547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1 377 804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1 408 501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112 100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109 586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111 865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119 131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141 000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ubezpieczeniowych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161 007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173 959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185 437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204 891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203 886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gospodarczych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1 011 131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1 250 435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1 398 109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1 538 838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1 575 108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Pozostałość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1 701 162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1 899 729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1 835 894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2 429 936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2 229 227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 tego spraw: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karnych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428 537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405 955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379 365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451 385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440 705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cywilnych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915 786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1 081 745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978 822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1 391 697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1 230 447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rodzinnych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154 711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166 241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161 432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190 180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178 017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32 092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34 066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42 599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43 489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59 061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ubezpieczeniowych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78 527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75 337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90 780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114 734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123 866</w:t>
            </w:r>
          </w:p>
        </w:tc>
      </w:tr>
      <w:tr w:rsidR="003C288D" w:rsidRPr="003C288D" w:rsidTr="005E284B">
        <w:trPr>
          <w:trHeight w:val="366"/>
        </w:trPr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gospodarczych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91 509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136 385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182 896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238 451</w:t>
            </w: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88D" w:rsidRPr="003C288D" w:rsidRDefault="003C288D" w:rsidP="003C288D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3C288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197 131</w:t>
            </w:r>
          </w:p>
        </w:tc>
      </w:tr>
    </w:tbl>
    <w:p w:rsidR="003C288D" w:rsidRDefault="003C288D" w:rsidP="00D742AA">
      <w:pPr>
        <w:jc w:val="center"/>
        <w:rPr>
          <w:rFonts w:ascii="Arial" w:hAnsi="Arial" w:cs="Arial"/>
          <w:sz w:val="24"/>
          <w:szCs w:val="24"/>
        </w:rPr>
      </w:pPr>
    </w:p>
    <w:p w:rsidR="00383768" w:rsidRDefault="0038376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06F3C9EB" wp14:editId="5195E79B">
            <wp:extent cx="5729605" cy="3200400"/>
            <wp:effectExtent l="0" t="0" r="23495" b="1905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76F3E" w:rsidRDefault="00C76F3E" w:rsidP="005E284B">
      <w:pPr>
        <w:jc w:val="both"/>
        <w:rPr>
          <w:rFonts w:ascii="Arial" w:hAnsi="Arial" w:cs="Arial"/>
        </w:rPr>
      </w:pPr>
    </w:p>
    <w:p w:rsidR="00AF45B0" w:rsidRDefault="005E284B" w:rsidP="005E2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latach 2010-2013 odnotowywano stały wzrost liczby spraw rejestrowanych</w:t>
      </w:r>
      <w:r w:rsidR="007D1F4E">
        <w:rPr>
          <w:rFonts w:ascii="Arial" w:hAnsi="Arial" w:cs="Arial"/>
        </w:rPr>
        <w:t xml:space="preserve"> w sądach</w:t>
      </w:r>
      <w:r>
        <w:rPr>
          <w:rFonts w:ascii="Arial" w:hAnsi="Arial" w:cs="Arial"/>
        </w:rPr>
        <w:t xml:space="preserve">, spraw załatwianych oraz pozostałości spraw. </w:t>
      </w:r>
      <w:r w:rsidR="00C76F3E">
        <w:rPr>
          <w:rFonts w:ascii="Arial" w:hAnsi="Arial" w:cs="Arial"/>
        </w:rPr>
        <w:t xml:space="preserve"> W okresie tym wpływ zwiększył się o 2,2 mln spraw</w:t>
      </w:r>
      <w:r w:rsidR="007D1F4E">
        <w:rPr>
          <w:rFonts w:ascii="Arial" w:hAnsi="Arial" w:cs="Arial"/>
        </w:rPr>
        <w:t xml:space="preserve">, załatwienie wzrosło o 1,8 mln, a pozostałość – o </w:t>
      </w:r>
      <w:r w:rsidR="00AF45B0">
        <w:rPr>
          <w:rFonts w:ascii="Arial" w:hAnsi="Arial" w:cs="Arial"/>
        </w:rPr>
        <w:t xml:space="preserve">730 tys. spraw. </w:t>
      </w:r>
    </w:p>
    <w:p w:rsidR="005E284B" w:rsidRDefault="00AF45B0" w:rsidP="005E2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E284B">
        <w:rPr>
          <w:rFonts w:ascii="Arial" w:hAnsi="Arial" w:cs="Arial"/>
        </w:rPr>
        <w:t xml:space="preserve">W roku 2014 </w:t>
      </w:r>
      <w:r w:rsidR="00D520C6">
        <w:rPr>
          <w:rFonts w:ascii="Arial" w:hAnsi="Arial" w:cs="Arial"/>
        </w:rPr>
        <w:t xml:space="preserve">w porównaniu z rokiem 2013 </w:t>
      </w:r>
      <w:r w:rsidR="005E284B">
        <w:rPr>
          <w:rFonts w:ascii="Arial" w:hAnsi="Arial" w:cs="Arial"/>
        </w:rPr>
        <w:t xml:space="preserve">nastąpił spadek wartości we wpływie </w:t>
      </w:r>
      <w:r w:rsidR="004E122B">
        <w:rPr>
          <w:rFonts w:ascii="Arial" w:hAnsi="Arial" w:cs="Arial"/>
        </w:rPr>
        <w:br/>
      </w:r>
      <w:r w:rsidR="005E284B">
        <w:rPr>
          <w:rFonts w:ascii="Arial" w:hAnsi="Arial" w:cs="Arial"/>
        </w:rPr>
        <w:t xml:space="preserve">i pozostałości spraw (odpowiednio o 4,1% i 8,3%) oraz wzrost liczby spraw załatwionych </w:t>
      </w:r>
      <w:r w:rsidR="004E122B">
        <w:rPr>
          <w:rFonts w:ascii="Arial" w:hAnsi="Arial" w:cs="Arial"/>
        </w:rPr>
        <w:br/>
      </w:r>
      <w:r w:rsidR="005E284B">
        <w:rPr>
          <w:rFonts w:ascii="Arial" w:hAnsi="Arial" w:cs="Arial"/>
        </w:rPr>
        <w:t xml:space="preserve">(o 1,2%). </w:t>
      </w:r>
    </w:p>
    <w:p w:rsidR="0054262A" w:rsidRDefault="00EC43BE" w:rsidP="005E2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Analizując ewidencję spraw w podziale na poszczególne rodzaje spraw (piony orzecznicze) zauważyć można podobne trendy jak w licz</w:t>
      </w:r>
      <w:r w:rsidR="00684D1B">
        <w:rPr>
          <w:rFonts w:ascii="Arial" w:hAnsi="Arial" w:cs="Arial"/>
        </w:rPr>
        <w:t xml:space="preserve">bach ogólnych. Wpływ spraw we wszystkich kategoriach rósł do roku 2013, a w 2014 – zmniejszył się. Wyjątkiem są sprawy z zakresu prawa pracy, gdzie </w:t>
      </w:r>
      <w:r w:rsidR="00705CFC">
        <w:rPr>
          <w:rFonts w:ascii="Arial" w:hAnsi="Arial" w:cs="Arial"/>
        </w:rPr>
        <w:t xml:space="preserve">wzrost trwa nieprzerwanie od roku 2010. Największy procentowy wzrost wpływu odnotowano </w:t>
      </w:r>
      <w:r w:rsidR="00A96429">
        <w:rPr>
          <w:rFonts w:ascii="Arial" w:hAnsi="Arial" w:cs="Arial"/>
        </w:rPr>
        <w:t>dla spraw</w:t>
      </w:r>
      <w:r w:rsidR="008E3278">
        <w:rPr>
          <w:rFonts w:ascii="Arial" w:hAnsi="Arial" w:cs="Arial"/>
        </w:rPr>
        <w:t xml:space="preserve"> gospodarczych – 49,5% ( z 1,03 mln w 2010 do 1,5</w:t>
      </w:r>
      <w:r w:rsidR="0006425F">
        <w:rPr>
          <w:rFonts w:ascii="Arial" w:hAnsi="Arial" w:cs="Arial"/>
        </w:rPr>
        <w:t xml:space="preserve">3 mln </w:t>
      </w:r>
      <w:r w:rsidR="001B7F13">
        <w:rPr>
          <w:rFonts w:ascii="Arial" w:hAnsi="Arial" w:cs="Arial"/>
        </w:rPr>
        <w:br/>
      </w:r>
      <w:r w:rsidR="0006425F">
        <w:rPr>
          <w:rFonts w:ascii="Arial" w:hAnsi="Arial" w:cs="Arial"/>
        </w:rPr>
        <w:t xml:space="preserve">w roku 2014). Najmniejszy wzrost nastąpił dla spraw karnych – </w:t>
      </w:r>
      <w:r w:rsidR="001B7F13">
        <w:rPr>
          <w:rFonts w:ascii="Arial" w:hAnsi="Arial" w:cs="Arial"/>
        </w:rPr>
        <w:t xml:space="preserve">o </w:t>
      </w:r>
      <w:r w:rsidR="0006425F">
        <w:rPr>
          <w:rFonts w:ascii="Arial" w:hAnsi="Arial" w:cs="Arial"/>
        </w:rPr>
        <w:t xml:space="preserve">2,8% (o </w:t>
      </w:r>
      <w:r w:rsidR="001B7F13">
        <w:rPr>
          <w:rFonts w:ascii="Arial" w:hAnsi="Arial" w:cs="Arial"/>
        </w:rPr>
        <w:t>75,5 tys. spraw).</w:t>
      </w:r>
    </w:p>
    <w:p w:rsidR="001B7F13" w:rsidRDefault="007A4580" w:rsidP="005E2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Biorąc pod uwagę załatwienia spraw największą dynamiką charakteryzują się sprawy gospodarcze, a najmniejszą sprawy rodzinne. W badanym pięcioleciu wzrosty dla tych kategorii spraw kształtowały się odpowiednio na poziomie </w:t>
      </w:r>
      <w:r w:rsidR="003D4AE2">
        <w:rPr>
          <w:rFonts w:ascii="Arial" w:hAnsi="Arial" w:cs="Arial"/>
        </w:rPr>
        <w:t xml:space="preserve">55,8% i 7,0%. </w:t>
      </w:r>
    </w:p>
    <w:p w:rsidR="003D4AE2" w:rsidRDefault="00F256A2" w:rsidP="005E2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Jeszcze większą rozpiętość zauważamy w wartościach opisujących </w:t>
      </w:r>
      <w:r w:rsidR="009E2A9B">
        <w:rPr>
          <w:rFonts w:ascii="Arial" w:hAnsi="Arial" w:cs="Arial"/>
        </w:rPr>
        <w:t xml:space="preserve">zmiany liczby spraw, które nie zostały załatwione w danym okresie statystycznym (pozostałość). </w:t>
      </w:r>
      <w:r w:rsidR="00B81CF3">
        <w:rPr>
          <w:rFonts w:ascii="Arial" w:hAnsi="Arial" w:cs="Arial"/>
        </w:rPr>
        <w:t>Dla spraw karnych jest to 2,8% w ciągu ostatnich 5 lat, a dla spraw gospodarczych</w:t>
      </w:r>
      <w:r w:rsidR="00397C7E">
        <w:rPr>
          <w:rFonts w:ascii="Arial" w:hAnsi="Arial" w:cs="Arial"/>
        </w:rPr>
        <w:t xml:space="preserve"> aż 115,4%. O ile więc zaległości w sprawach karnych pozostają na względnie niskim poziomie to </w:t>
      </w:r>
      <w:r w:rsidR="00952BA0">
        <w:rPr>
          <w:rFonts w:ascii="Arial" w:hAnsi="Arial" w:cs="Arial"/>
        </w:rPr>
        <w:t xml:space="preserve">w sprawach gospodarczych są dużo większe niż </w:t>
      </w:r>
      <w:r w:rsidR="009A4EBE">
        <w:rPr>
          <w:rFonts w:ascii="Arial" w:hAnsi="Arial" w:cs="Arial"/>
        </w:rPr>
        <w:t>w roku 2010 (pomimo znacznego spadku liczby spraw niezałatwionych w ostatnim roku).</w:t>
      </w:r>
    </w:p>
    <w:p w:rsidR="009A4EBE" w:rsidRDefault="009A4EBE" w:rsidP="005E2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Szczegółowe dane dotyczące ewidencji spraw według</w:t>
      </w:r>
      <w:r w:rsidR="00514933">
        <w:rPr>
          <w:rFonts w:ascii="Arial" w:hAnsi="Arial" w:cs="Arial"/>
        </w:rPr>
        <w:t xml:space="preserve"> rodzajów przedstawione są na poniższych wykresach.</w:t>
      </w:r>
    </w:p>
    <w:p w:rsidR="001B7F13" w:rsidRDefault="001B7F13" w:rsidP="005E284B">
      <w:pPr>
        <w:jc w:val="both"/>
        <w:rPr>
          <w:rFonts w:ascii="Arial" w:hAnsi="Arial" w:cs="Arial"/>
        </w:rPr>
      </w:pPr>
    </w:p>
    <w:p w:rsidR="00383768" w:rsidRDefault="0038376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7EE2F7BA" wp14:editId="64469347">
            <wp:extent cx="5720080" cy="3657600"/>
            <wp:effectExtent l="0" t="0" r="13970" b="1905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83204" w:rsidRDefault="00083204">
      <w:pPr>
        <w:jc w:val="center"/>
        <w:rPr>
          <w:rFonts w:ascii="Arial" w:hAnsi="Arial" w:cs="Arial"/>
          <w:b/>
          <w:sz w:val="24"/>
          <w:szCs w:val="24"/>
        </w:rPr>
      </w:pP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28CFC9D" wp14:editId="75C3C323">
            <wp:extent cx="5743575" cy="3762375"/>
            <wp:effectExtent l="0" t="0" r="9525" b="9525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72220715" wp14:editId="1E769AA8">
            <wp:extent cx="5529580" cy="3619500"/>
            <wp:effectExtent l="0" t="0" r="13970" b="19050"/>
            <wp:docPr id="12" name="Wykres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717D368" wp14:editId="78161558">
            <wp:extent cx="5596255" cy="3981450"/>
            <wp:effectExtent l="0" t="0" r="23495" b="19050"/>
            <wp:docPr id="13" name="Wykres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023DC5A3" wp14:editId="16D3AAA6">
            <wp:extent cx="5596255" cy="3838575"/>
            <wp:effectExtent l="0" t="0" r="23495" b="9525"/>
            <wp:docPr id="14" name="Wykres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</w:p>
    <w:p w:rsidR="00211CB1" w:rsidRDefault="00F0073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1467122" wp14:editId="166EF321">
            <wp:extent cx="5615305" cy="3800475"/>
            <wp:effectExtent l="0" t="0" r="23495" b="9525"/>
            <wp:docPr id="15" name="Wykres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034AC" w:rsidRDefault="000034AC">
      <w:pPr>
        <w:jc w:val="center"/>
        <w:rPr>
          <w:rFonts w:ascii="Arial" w:hAnsi="Arial" w:cs="Arial"/>
          <w:b/>
          <w:sz w:val="24"/>
          <w:szCs w:val="24"/>
        </w:rPr>
      </w:pPr>
    </w:p>
    <w:p w:rsidR="000034AC" w:rsidRDefault="000034AC">
      <w:pPr>
        <w:jc w:val="center"/>
        <w:rPr>
          <w:rFonts w:ascii="Arial" w:hAnsi="Arial" w:cs="Arial"/>
          <w:b/>
          <w:sz w:val="24"/>
          <w:szCs w:val="24"/>
        </w:rPr>
      </w:pPr>
    </w:p>
    <w:p w:rsidR="007B2880" w:rsidRDefault="000034AC" w:rsidP="000034AC">
      <w:pPr>
        <w:jc w:val="both"/>
        <w:rPr>
          <w:rFonts w:ascii="Arial" w:hAnsi="Arial" w:cs="Arial"/>
        </w:rPr>
      </w:pPr>
      <w:r w:rsidRPr="000034AC">
        <w:rPr>
          <w:rFonts w:ascii="Arial" w:hAnsi="Arial" w:cs="Arial"/>
        </w:rPr>
        <w:lastRenderedPageBreak/>
        <w:t xml:space="preserve">Poniżej zaprezentowane zostały dane statystyczne </w:t>
      </w:r>
      <w:r>
        <w:rPr>
          <w:rFonts w:ascii="Arial" w:hAnsi="Arial" w:cs="Arial"/>
        </w:rPr>
        <w:t xml:space="preserve">dotyczące ewidencji spraw w podziale na poszczególne szczeble sądownictwa. </w:t>
      </w:r>
    </w:p>
    <w:p w:rsidR="000034AC" w:rsidRDefault="00C320B1" w:rsidP="000034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latach 2010-2014 w obszarze wpływu, załatwienia i pozostałości spraw odnotowano </w:t>
      </w:r>
      <w:r w:rsidR="00FA6C67">
        <w:rPr>
          <w:rFonts w:ascii="Arial" w:hAnsi="Arial" w:cs="Arial"/>
        </w:rPr>
        <w:t xml:space="preserve">wzrosty we wszystkich rodzajach sądów – apelacyjnych, okręgowych i rejonowych. </w:t>
      </w:r>
      <w:r w:rsidR="00DF6385">
        <w:rPr>
          <w:rFonts w:ascii="Arial" w:hAnsi="Arial" w:cs="Arial"/>
        </w:rPr>
        <w:t>Największy wzrost wpływu nastąpił w sądach apelacyjnych</w:t>
      </w:r>
      <w:r w:rsidR="00DD5C25">
        <w:rPr>
          <w:rFonts w:ascii="Arial" w:hAnsi="Arial" w:cs="Arial"/>
        </w:rPr>
        <w:t xml:space="preserve"> – o 32,4%</w:t>
      </w:r>
      <w:r w:rsidR="0078577B">
        <w:rPr>
          <w:rFonts w:ascii="Arial" w:hAnsi="Arial" w:cs="Arial"/>
        </w:rPr>
        <w:t>, a w</w:t>
      </w:r>
      <w:r w:rsidR="00DD5C25">
        <w:rPr>
          <w:rFonts w:ascii="Arial" w:hAnsi="Arial" w:cs="Arial"/>
        </w:rPr>
        <w:t xml:space="preserve"> sądach okręgowych i rejonowych ukształtował się na zbliżonym poziomie 12 %. </w:t>
      </w:r>
      <w:r w:rsidR="0078577B">
        <w:rPr>
          <w:rFonts w:ascii="Arial" w:hAnsi="Arial" w:cs="Arial"/>
        </w:rPr>
        <w:t xml:space="preserve">Załatwienie spraw zwiększyło się o </w:t>
      </w:r>
      <w:r w:rsidR="007B2880">
        <w:rPr>
          <w:rFonts w:ascii="Arial" w:hAnsi="Arial" w:cs="Arial"/>
        </w:rPr>
        <w:t xml:space="preserve">32,2% w sądach apelacyjnych, a w sądach okręgowych i rejonowych – o ok. 15%. Dużo większe rozbieżności zauważyć można w dynamice liczby spraw niezałatwionych. </w:t>
      </w:r>
      <w:r w:rsidR="00D951D2">
        <w:rPr>
          <w:rFonts w:ascii="Arial" w:hAnsi="Arial" w:cs="Arial"/>
        </w:rPr>
        <w:t>W sądach apelacyjnych poziom pozostałości wzrósł o 141,0 %, w sądach okręgowych o 36,8%, a w s</w:t>
      </w:r>
      <w:r w:rsidR="008E09AF">
        <w:rPr>
          <w:rFonts w:ascii="Arial" w:hAnsi="Arial" w:cs="Arial"/>
        </w:rPr>
        <w:t>ą</w:t>
      </w:r>
      <w:r w:rsidR="00D951D2">
        <w:rPr>
          <w:rFonts w:ascii="Arial" w:hAnsi="Arial" w:cs="Arial"/>
        </w:rPr>
        <w:t>dach rejonowych – o 29,2%.</w:t>
      </w:r>
    </w:p>
    <w:p w:rsidR="001D527C" w:rsidRDefault="001D527C" w:rsidP="000034AC">
      <w:pPr>
        <w:jc w:val="both"/>
        <w:rPr>
          <w:rFonts w:ascii="Arial" w:hAnsi="Arial" w:cs="Arial"/>
        </w:rPr>
      </w:pPr>
    </w:p>
    <w:tbl>
      <w:tblPr>
        <w:tblW w:w="878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6"/>
        <w:gridCol w:w="1313"/>
        <w:gridCol w:w="1313"/>
        <w:gridCol w:w="1313"/>
        <w:gridCol w:w="1313"/>
        <w:gridCol w:w="1313"/>
      </w:tblGrid>
      <w:tr w:rsidR="00FE064C" w:rsidRPr="00FE064C" w:rsidTr="00FE064C">
        <w:trPr>
          <w:trHeight w:val="615"/>
        </w:trPr>
        <w:tc>
          <w:tcPr>
            <w:tcW w:w="87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Default="00343B30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Tabl. 2. </w:t>
            </w:r>
            <w:r w:rsidR="00FE064C"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Ewidencja spraw w sądach powszechnych w latach 2010 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–</w:t>
            </w:r>
            <w:r w:rsidR="00FE064C"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 2014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br/>
            </w:r>
            <w:r w:rsidR="00FE064C"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 (według szczebla sądownictwa)</w:t>
            </w:r>
          </w:p>
          <w:p w:rsidR="00E47A16" w:rsidRPr="001D527C" w:rsidRDefault="00E47A16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0"/>
                <w:szCs w:val="10"/>
                <w:lang w:eastAsia="pl-PL"/>
              </w:rPr>
            </w:pPr>
          </w:p>
        </w:tc>
      </w:tr>
      <w:tr w:rsidR="00FE064C" w:rsidRPr="00FE064C" w:rsidTr="00E47A16">
        <w:trPr>
          <w:trHeight w:val="372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366092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Wyszczególnienie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366092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366092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366092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366092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366092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2014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Wpływ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12 934 771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13 584 064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14 040 616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15 169 808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14 553 725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 tego do sądów: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apelacyjnych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87 714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93 797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104 772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119 202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116 132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okręgowych 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836 566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843 255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928 318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997 524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939 704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rejonowych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12 010 491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12 647 012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13 007 526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14 053 082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13 497 889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Załatwienie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12 791 322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13 385 551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14 105 063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14 575 830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14 754 469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 tego w sądach: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apelacyjnych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87 032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92 138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99 745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107 532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115 031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okręgowych 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820 286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841 604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886 019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955 217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948 946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rejonowych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11 884 004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12 451 809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13 119 299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13 513 081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13 690 492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Pozostałość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1 701 162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1 899 729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1 835 894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2 429 936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2 229 227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z tego w sądach: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apelacyjnych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13 794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15 454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20 480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32 149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33 250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 xml:space="preserve">okręgowych 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209 407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211 059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253 399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295 718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286 456</w:t>
            </w:r>
          </w:p>
        </w:tc>
      </w:tr>
      <w:tr w:rsidR="00FE064C" w:rsidRPr="00FE064C" w:rsidTr="008513B5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rejonowych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1 477 961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1 673 216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1 562 015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2 102 069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8513B5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1 909 521</w:t>
            </w:r>
          </w:p>
        </w:tc>
      </w:tr>
      <w:tr w:rsidR="001D527C" w:rsidRPr="00FE064C" w:rsidTr="001D527C">
        <w:trPr>
          <w:trHeight w:hRule="exact" w:val="284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527C" w:rsidRPr="00FE064C" w:rsidRDefault="001D527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527C" w:rsidRPr="00FE064C" w:rsidRDefault="001D527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527C" w:rsidRPr="00FE064C" w:rsidRDefault="001D527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527C" w:rsidRPr="00FE064C" w:rsidRDefault="001D527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527C" w:rsidRPr="00FE064C" w:rsidRDefault="001D527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527C" w:rsidRPr="00FE064C" w:rsidRDefault="001D527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972014B" wp14:editId="65A87EF3">
            <wp:extent cx="5400675" cy="2933700"/>
            <wp:effectExtent l="0" t="0" r="9525" b="19050"/>
            <wp:docPr id="4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0C1B0EEA" wp14:editId="0517EA4C">
            <wp:extent cx="5410200" cy="3629025"/>
            <wp:effectExtent l="0" t="0" r="19050" b="9525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1841D6F" wp14:editId="4469EB2A">
            <wp:extent cx="5410200" cy="3695700"/>
            <wp:effectExtent l="0" t="0" r="19050" b="19050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</w:p>
    <w:p w:rsidR="008513B5" w:rsidRDefault="008513B5">
      <w:pPr>
        <w:jc w:val="center"/>
        <w:rPr>
          <w:rFonts w:ascii="Arial" w:hAnsi="Arial" w:cs="Arial"/>
          <w:b/>
          <w:sz w:val="24"/>
          <w:szCs w:val="24"/>
        </w:rPr>
      </w:pPr>
    </w:p>
    <w:p w:rsidR="008513B5" w:rsidRDefault="008513B5" w:rsidP="008513B5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mallCaps/>
          <w:sz w:val="24"/>
          <w:szCs w:val="24"/>
        </w:rPr>
      </w:pPr>
      <w:r w:rsidRPr="0053301F">
        <w:rPr>
          <w:rFonts w:ascii="Arial" w:hAnsi="Arial" w:cs="Arial"/>
          <w:b/>
          <w:smallCaps/>
          <w:sz w:val="24"/>
          <w:szCs w:val="24"/>
        </w:rPr>
        <w:lastRenderedPageBreak/>
        <w:t xml:space="preserve">średni czas trwania postępowania </w:t>
      </w:r>
    </w:p>
    <w:p w:rsidR="0053301F" w:rsidRDefault="00572210" w:rsidP="0053301F">
      <w:pPr>
        <w:jc w:val="both"/>
        <w:rPr>
          <w:rFonts w:ascii="Arial" w:hAnsi="Arial" w:cs="Arial"/>
        </w:rPr>
      </w:pPr>
      <w:r w:rsidRPr="00572210">
        <w:rPr>
          <w:rFonts w:ascii="Arial" w:hAnsi="Arial" w:cs="Arial"/>
        </w:rPr>
        <w:t xml:space="preserve">Średni czas </w:t>
      </w:r>
      <w:r>
        <w:rPr>
          <w:rFonts w:ascii="Arial" w:hAnsi="Arial" w:cs="Arial"/>
        </w:rPr>
        <w:t xml:space="preserve">trwania postępowania (tzw. sprawność postępowania) </w:t>
      </w:r>
      <w:r w:rsidR="0097568B">
        <w:rPr>
          <w:rFonts w:ascii="Arial" w:hAnsi="Arial" w:cs="Arial"/>
        </w:rPr>
        <w:t xml:space="preserve">jest to </w:t>
      </w:r>
      <w:r w:rsidR="00700ED9">
        <w:rPr>
          <w:rFonts w:ascii="Arial" w:hAnsi="Arial" w:cs="Arial"/>
        </w:rPr>
        <w:t xml:space="preserve">średni czas jaki </w:t>
      </w:r>
      <w:r w:rsidR="0097568B" w:rsidRPr="0097568B">
        <w:rPr>
          <w:rFonts w:ascii="Arial" w:hAnsi="Arial" w:cs="Arial"/>
        </w:rPr>
        <w:t xml:space="preserve"> </w:t>
      </w:r>
      <w:r w:rsidR="00314385">
        <w:rPr>
          <w:rFonts w:ascii="Arial" w:hAnsi="Arial" w:cs="Arial"/>
        </w:rPr>
        <w:t>upływa od pierwotnego wpływu sprawy do sądu do momentu uprawomo</w:t>
      </w:r>
      <w:r w:rsidR="00BE6B08">
        <w:rPr>
          <w:rFonts w:ascii="Arial" w:hAnsi="Arial" w:cs="Arial"/>
        </w:rPr>
        <w:t xml:space="preserve">cnienia się sprawy </w:t>
      </w:r>
      <w:r w:rsidR="0020651A">
        <w:rPr>
          <w:rFonts w:ascii="Arial" w:hAnsi="Arial" w:cs="Arial"/>
        </w:rPr>
        <w:br/>
      </w:r>
      <w:r w:rsidR="00BE6B08">
        <w:rPr>
          <w:rFonts w:ascii="Arial" w:hAnsi="Arial" w:cs="Arial"/>
        </w:rPr>
        <w:t xml:space="preserve">w pierwszej instancji. </w:t>
      </w:r>
      <w:r w:rsidR="00035A53">
        <w:rPr>
          <w:rFonts w:ascii="Arial" w:hAnsi="Arial" w:cs="Arial"/>
        </w:rPr>
        <w:t>Średni czas l</w:t>
      </w:r>
      <w:r w:rsidR="00B34072">
        <w:rPr>
          <w:rFonts w:ascii="Arial" w:hAnsi="Arial" w:cs="Arial"/>
        </w:rPr>
        <w:t xml:space="preserve">iczony jest </w:t>
      </w:r>
      <w:r w:rsidR="00CD35AB">
        <w:rPr>
          <w:rFonts w:ascii="Arial" w:hAnsi="Arial" w:cs="Arial"/>
        </w:rPr>
        <w:t>na podstawie</w:t>
      </w:r>
      <w:r w:rsidR="00035A53">
        <w:rPr>
          <w:rFonts w:ascii="Arial" w:hAnsi="Arial" w:cs="Arial"/>
        </w:rPr>
        <w:t xml:space="preserve"> </w:t>
      </w:r>
      <w:r w:rsidR="0097568B" w:rsidRPr="0097568B">
        <w:rPr>
          <w:rFonts w:ascii="Arial" w:hAnsi="Arial" w:cs="Arial"/>
        </w:rPr>
        <w:t xml:space="preserve">spraw z wybranych repertoriów </w:t>
      </w:r>
      <w:r w:rsidR="00CD35AB">
        <w:rPr>
          <w:rFonts w:ascii="Arial" w:hAnsi="Arial" w:cs="Arial"/>
        </w:rPr>
        <w:br/>
      </w:r>
      <w:r w:rsidR="0097568B" w:rsidRPr="0097568B">
        <w:rPr>
          <w:rFonts w:ascii="Arial" w:hAnsi="Arial" w:cs="Arial"/>
        </w:rPr>
        <w:t>I instancji (Sądy okręgowe</w:t>
      </w:r>
      <w:r w:rsidR="00035A53">
        <w:rPr>
          <w:rFonts w:ascii="Arial" w:hAnsi="Arial" w:cs="Arial"/>
        </w:rPr>
        <w:t xml:space="preserve"> rep.</w:t>
      </w:r>
      <w:r w:rsidR="0097568B" w:rsidRPr="0097568B">
        <w:rPr>
          <w:rFonts w:ascii="Arial" w:hAnsi="Arial" w:cs="Arial"/>
        </w:rPr>
        <w:t xml:space="preserve">: C, CG-G, </w:t>
      </w:r>
      <w:proofErr w:type="spellStart"/>
      <w:r w:rsidR="0097568B" w:rsidRPr="0097568B">
        <w:rPr>
          <w:rFonts w:ascii="Arial" w:hAnsi="Arial" w:cs="Arial"/>
        </w:rPr>
        <w:t>Ns</w:t>
      </w:r>
      <w:proofErr w:type="spellEnd"/>
      <w:r w:rsidR="0097568B" w:rsidRPr="0097568B">
        <w:rPr>
          <w:rFonts w:ascii="Arial" w:hAnsi="Arial" w:cs="Arial"/>
        </w:rPr>
        <w:t xml:space="preserve"> (z wył. rej.), </w:t>
      </w:r>
      <w:proofErr w:type="spellStart"/>
      <w:r w:rsidR="0097568B" w:rsidRPr="0097568B">
        <w:rPr>
          <w:rFonts w:ascii="Arial" w:hAnsi="Arial" w:cs="Arial"/>
        </w:rPr>
        <w:t>Nc</w:t>
      </w:r>
      <w:proofErr w:type="spellEnd"/>
      <w:r w:rsidR="0097568B" w:rsidRPr="0097568B">
        <w:rPr>
          <w:rFonts w:ascii="Arial" w:hAnsi="Arial" w:cs="Arial"/>
        </w:rPr>
        <w:t xml:space="preserve">, Co, K, U, P, GC, </w:t>
      </w:r>
      <w:proofErr w:type="spellStart"/>
      <w:r w:rsidR="0097568B" w:rsidRPr="0097568B">
        <w:rPr>
          <w:rFonts w:ascii="Arial" w:hAnsi="Arial" w:cs="Arial"/>
        </w:rPr>
        <w:t>GNs</w:t>
      </w:r>
      <w:proofErr w:type="spellEnd"/>
      <w:r w:rsidR="0097568B" w:rsidRPr="0097568B">
        <w:rPr>
          <w:rFonts w:ascii="Arial" w:hAnsi="Arial" w:cs="Arial"/>
        </w:rPr>
        <w:t xml:space="preserve">, </w:t>
      </w:r>
      <w:proofErr w:type="spellStart"/>
      <w:r w:rsidR="0097568B" w:rsidRPr="0097568B">
        <w:rPr>
          <w:rFonts w:ascii="Arial" w:hAnsi="Arial" w:cs="Arial"/>
        </w:rPr>
        <w:t>GNc</w:t>
      </w:r>
      <w:proofErr w:type="spellEnd"/>
      <w:r w:rsidR="0097568B" w:rsidRPr="0097568B">
        <w:rPr>
          <w:rFonts w:ascii="Arial" w:hAnsi="Arial" w:cs="Arial"/>
        </w:rPr>
        <w:t>; Sądy rejonowe</w:t>
      </w:r>
      <w:r w:rsidR="00035A53">
        <w:rPr>
          <w:rFonts w:ascii="Arial" w:hAnsi="Arial" w:cs="Arial"/>
        </w:rPr>
        <w:t xml:space="preserve"> rep.</w:t>
      </w:r>
      <w:r w:rsidR="0097568B" w:rsidRPr="0097568B">
        <w:rPr>
          <w:rFonts w:ascii="Arial" w:hAnsi="Arial" w:cs="Arial"/>
        </w:rPr>
        <w:t xml:space="preserve">: C, CG-G, </w:t>
      </w:r>
      <w:proofErr w:type="spellStart"/>
      <w:r w:rsidR="0097568B" w:rsidRPr="0097568B">
        <w:rPr>
          <w:rFonts w:ascii="Arial" w:hAnsi="Arial" w:cs="Arial"/>
        </w:rPr>
        <w:t>Ns</w:t>
      </w:r>
      <w:proofErr w:type="spellEnd"/>
      <w:r w:rsidR="0097568B" w:rsidRPr="0097568B">
        <w:rPr>
          <w:rFonts w:ascii="Arial" w:hAnsi="Arial" w:cs="Arial"/>
        </w:rPr>
        <w:t xml:space="preserve">, </w:t>
      </w:r>
      <w:proofErr w:type="spellStart"/>
      <w:r w:rsidR="0097568B" w:rsidRPr="0097568B">
        <w:rPr>
          <w:rFonts w:ascii="Arial" w:hAnsi="Arial" w:cs="Arial"/>
        </w:rPr>
        <w:t>Nc</w:t>
      </w:r>
      <w:proofErr w:type="spellEnd"/>
      <w:r w:rsidR="0097568B" w:rsidRPr="0097568B">
        <w:rPr>
          <w:rFonts w:ascii="Arial" w:hAnsi="Arial" w:cs="Arial"/>
        </w:rPr>
        <w:t xml:space="preserve">, K, </w:t>
      </w:r>
      <w:proofErr w:type="spellStart"/>
      <w:r w:rsidR="0097568B" w:rsidRPr="0097568B">
        <w:rPr>
          <w:rFonts w:ascii="Arial" w:hAnsi="Arial" w:cs="Arial"/>
        </w:rPr>
        <w:t>Kp</w:t>
      </w:r>
      <w:proofErr w:type="spellEnd"/>
      <w:r w:rsidR="0097568B" w:rsidRPr="0097568B">
        <w:rPr>
          <w:rFonts w:ascii="Arial" w:hAnsi="Arial" w:cs="Arial"/>
        </w:rPr>
        <w:t xml:space="preserve">, W, U, P, Np, RC, </w:t>
      </w:r>
      <w:proofErr w:type="spellStart"/>
      <w:r w:rsidR="0097568B" w:rsidRPr="0097568B">
        <w:rPr>
          <w:rFonts w:ascii="Arial" w:hAnsi="Arial" w:cs="Arial"/>
        </w:rPr>
        <w:t>RNs</w:t>
      </w:r>
      <w:proofErr w:type="spellEnd"/>
      <w:r w:rsidR="0097568B" w:rsidRPr="0097568B">
        <w:rPr>
          <w:rFonts w:ascii="Arial" w:hAnsi="Arial" w:cs="Arial"/>
        </w:rPr>
        <w:t xml:space="preserve">, </w:t>
      </w:r>
      <w:proofErr w:type="spellStart"/>
      <w:r w:rsidR="0097568B" w:rsidRPr="0097568B">
        <w:rPr>
          <w:rFonts w:ascii="Arial" w:hAnsi="Arial" w:cs="Arial"/>
        </w:rPr>
        <w:t>Nsm</w:t>
      </w:r>
      <w:proofErr w:type="spellEnd"/>
      <w:r w:rsidR="0097568B" w:rsidRPr="0097568B">
        <w:rPr>
          <w:rFonts w:ascii="Arial" w:hAnsi="Arial" w:cs="Arial"/>
        </w:rPr>
        <w:t xml:space="preserve">, GC, </w:t>
      </w:r>
      <w:proofErr w:type="spellStart"/>
      <w:r w:rsidR="0097568B" w:rsidRPr="0097568B">
        <w:rPr>
          <w:rFonts w:ascii="Arial" w:hAnsi="Arial" w:cs="Arial"/>
        </w:rPr>
        <w:t>G</w:t>
      </w:r>
      <w:r w:rsidR="00035A53">
        <w:rPr>
          <w:rFonts w:ascii="Arial" w:hAnsi="Arial" w:cs="Arial"/>
        </w:rPr>
        <w:t>Ns</w:t>
      </w:r>
      <w:proofErr w:type="spellEnd"/>
      <w:r w:rsidR="00035A53">
        <w:rPr>
          <w:rFonts w:ascii="Arial" w:hAnsi="Arial" w:cs="Arial"/>
        </w:rPr>
        <w:t xml:space="preserve">, </w:t>
      </w:r>
      <w:proofErr w:type="spellStart"/>
      <w:r w:rsidR="00035A53">
        <w:rPr>
          <w:rFonts w:ascii="Arial" w:hAnsi="Arial" w:cs="Arial"/>
        </w:rPr>
        <w:t>GNc</w:t>
      </w:r>
      <w:proofErr w:type="spellEnd"/>
      <w:r w:rsidR="00035A53">
        <w:rPr>
          <w:rFonts w:ascii="Arial" w:hAnsi="Arial" w:cs="Arial"/>
        </w:rPr>
        <w:t xml:space="preserve">, GU, </w:t>
      </w:r>
      <w:proofErr w:type="spellStart"/>
      <w:r w:rsidR="00035A53">
        <w:rPr>
          <w:rFonts w:ascii="Arial" w:hAnsi="Arial" w:cs="Arial"/>
        </w:rPr>
        <w:t>GUp</w:t>
      </w:r>
      <w:proofErr w:type="spellEnd"/>
      <w:r w:rsidR="00035A53">
        <w:rPr>
          <w:rFonts w:ascii="Arial" w:hAnsi="Arial" w:cs="Arial"/>
        </w:rPr>
        <w:t xml:space="preserve">, GN, </w:t>
      </w:r>
      <w:proofErr w:type="spellStart"/>
      <w:r w:rsidR="00035A53">
        <w:rPr>
          <w:rFonts w:ascii="Arial" w:hAnsi="Arial" w:cs="Arial"/>
        </w:rPr>
        <w:t>GZd</w:t>
      </w:r>
      <w:proofErr w:type="spellEnd"/>
      <w:r w:rsidR="00035A53">
        <w:rPr>
          <w:rFonts w:ascii="Arial" w:hAnsi="Arial" w:cs="Arial"/>
        </w:rPr>
        <w:t>, U).</w:t>
      </w:r>
      <w:r w:rsidR="00C965CF">
        <w:rPr>
          <w:rFonts w:ascii="Arial" w:hAnsi="Arial" w:cs="Arial"/>
        </w:rPr>
        <w:t xml:space="preserve"> </w:t>
      </w:r>
      <w:r w:rsidR="0020651A">
        <w:rPr>
          <w:rFonts w:ascii="Arial" w:hAnsi="Arial" w:cs="Arial"/>
        </w:rPr>
        <w:t xml:space="preserve">Obliczany jest jako średnia ważona </w:t>
      </w:r>
      <w:r w:rsidR="00CD35AB">
        <w:rPr>
          <w:rFonts w:ascii="Arial" w:hAnsi="Arial" w:cs="Arial"/>
        </w:rPr>
        <w:t>i w</w:t>
      </w:r>
      <w:r w:rsidR="00C965CF">
        <w:rPr>
          <w:rFonts w:ascii="Arial" w:hAnsi="Arial" w:cs="Arial"/>
        </w:rPr>
        <w:t>yrażony jest w miesiącach.</w:t>
      </w:r>
    </w:p>
    <w:p w:rsidR="002C45A1" w:rsidRDefault="00700ED9" w:rsidP="005330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roku 2014 </w:t>
      </w:r>
      <w:r w:rsidR="000279F1">
        <w:rPr>
          <w:rFonts w:ascii="Arial" w:hAnsi="Arial" w:cs="Arial"/>
        </w:rPr>
        <w:t xml:space="preserve">średni czas trwania postępowania wyniósł 4,6 miesiąca i była to największa wartość w badanym okresie. Od roku 2010 nastąpił jego wzrost o 18,2%. </w:t>
      </w:r>
    </w:p>
    <w:p w:rsidR="00C965CF" w:rsidRDefault="002C45A1" w:rsidP="005330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Analizując długość postępowania dla poszczególnych pionów orzeczniczych największy wzrost zauważyć należy dla spraw gospodarczych – o 38,3%</w:t>
      </w:r>
      <w:r w:rsidR="000B28F2">
        <w:rPr>
          <w:rFonts w:ascii="Arial" w:hAnsi="Arial" w:cs="Arial"/>
        </w:rPr>
        <w:t>, a najmniejszy dla spraw karnych – o 2,5%.</w:t>
      </w:r>
    </w:p>
    <w:p w:rsidR="00E12820" w:rsidRDefault="00E12820" w:rsidP="00E12820">
      <w:pPr>
        <w:spacing w:after="0"/>
        <w:jc w:val="both"/>
        <w:rPr>
          <w:rFonts w:ascii="Arial" w:hAnsi="Arial" w:cs="Arial"/>
        </w:rPr>
      </w:pPr>
    </w:p>
    <w:tbl>
      <w:tblPr>
        <w:tblW w:w="8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879"/>
        <w:gridCol w:w="879"/>
        <w:gridCol w:w="879"/>
        <w:gridCol w:w="879"/>
        <w:gridCol w:w="879"/>
      </w:tblGrid>
      <w:tr w:rsidR="00FE064C" w:rsidRPr="00FE064C" w:rsidTr="00FE064C">
        <w:trPr>
          <w:trHeight w:val="465"/>
        </w:trPr>
        <w:tc>
          <w:tcPr>
            <w:tcW w:w="8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Default="00A93C54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Tabl. 3. </w:t>
            </w:r>
            <w:r w:rsidR="00FE064C"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Średni czas trwania postępowań sądowych w I instancji w SO i SR 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br/>
            </w:r>
            <w:r w:rsidR="00FE064C"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w latach 2010 - 2014 ( w mies.)</w:t>
            </w:r>
          </w:p>
          <w:p w:rsidR="00A93C54" w:rsidRPr="00FE064C" w:rsidRDefault="00A93C54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</w:p>
        </w:tc>
      </w:tr>
      <w:tr w:rsidR="00FE064C" w:rsidRPr="00FE064C" w:rsidTr="00FE064C">
        <w:trPr>
          <w:trHeight w:val="42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403151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Wyszczególnienie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403151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403151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403151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403151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403151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FFFFFF"/>
                <w:lang w:eastAsia="pl-PL"/>
              </w:rPr>
              <w:t>2014</w:t>
            </w:r>
          </w:p>
        </w:tc>
      </w:tr>
      <w:tr w:rsidR="00FE064C" w:rsidRPr="00FE064C" w:rsidTr="00FE064C">
        <w:trPr>
          <w:trHeight w:val="39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OGÓŁEM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3,9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4,1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4,2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4,1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4,6</w:t>
            </w: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w tym sprawy: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karne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3,4</w:t>
            </w: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cywilne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4,8</w:t>
            </w: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rodzinne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4,5</w:t>
            </w: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5,4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5,6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5,6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6,3</w:t>
            </w: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ubezpieczeń społecznych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6,9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7,2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7,3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7,9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8,4</w:t>
            </w:r>
          </w:p>
        </w:tc>
      </w:tr>
      <w:tr w:rsidR="00FE064C" w:rsidRPr="00FE064C" w:rsidTr="00FE064C">
        <w:trPr>
          <w:trHeight w:val="300"/>
        </w:trPr>
        <w:tc>
          <w:tcPr>
            <w:tcW w:w="4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ind w:firstLineChars="200" w:firstLine="400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gospodarcze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3,7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4,1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064C" w:rsidRPr="00FE064C" w:rsidRDefault="00FE064C" w:rsidP="00FE064C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FE064C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  <w:t>4,7</w:t>
            </w:r>
          </w:p>
        </w:tc>
      </w:tr>
    </w:tbl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</w:p>
    <w:p w:rsidR="00FE064C" w:rsidRDefault="00FE06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E6F7ACF" wp14:editId="05C72042">
            <wp:extent cx="5610225" cy="2952750"/>
            <wp:effectExtent l="0" t="0" r="9525" b="19050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E064C" w:rsidRDefault="00261CB4" w:rsidP="00261CB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mallCaps/>
          <w:sz w:val="24"/>
          <w:szCs w:val="24"/>
        </w:rPr>
      </w:pPr>
      <w:r w:rsidRPr="00261CB4">
        <w:rPr>
          <w:rFonts w:ascii="Arial" w:hAnsi="Arial" w:cs="Arial"/>
          <w:b/>
          <w:smallCaps/>
          <w:sz w:val="24"/>
          <w:szCs w:val="24"/>
        </w:rPr>
        <w:lastRenderedPageBreak/>
        <w:t>Skarg</w:t>
      </w:r>
      <w:r>
        <w:rPr>
          <w:rFonts w:ascii="Arial" w:hAnsi="Arial" w:cs="Arial"/>
          <w:b/>
          <w:smallCaps/>
          <w:sz w:val="24"/>
          <w:szCs w:val="24"/>
        </w:rPr>
        <w:t>a</w:t>
      </w:r>
      <w:r w:rsidRPr="00261CB4">
        <w:rPr>
          <w:rFonts w:ascii="Arial" w:hAnsi="Arial" w:cs="Arial"/>
          <w:b/>
          <w:smallCaps/>
          <w:sz w:val="24"/>
          <w:szCs w:val="24"/>
        </w:rPr>
        <w:t xml:space="preserve"> na naruszenie prawa strony do rozpoznawania sprawy bez nieuzasadnionej zwłoki (tzw. skarga na przewlekłość postępowania)</w:t>
      </w:r>
    </w:p>
    <w:p w:rsidR="00D80DFC" w:rsidRPr="00D80DFC" w:rsidRDefault="00D80DFC" w:rsidP="00D80DFC">
      <w:pPr>
        <w:jc w:val="both"/>
        <w:rPr>
          <w:rFonts w:ascii="Arial" w:hAnsi="Arial" w:cs="Arial"/>
          <w:b/>
          <w:smallCaps/>
          <w:sz w:val="24"/>
          <w:szCs w:val="24"/>
        </w:rPr>
      </w:pPr>
    </w:p>
    <w:tbl>
      <w:tblPr>
        <w:tblW w:w="11400" w:type="dxa"/>
        <w:tblInd w:w="-11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3"/>
        <w:gridCol w:w="815"/>
        <w:gridCol w:w="720"/>
        <w:gridCol w:w="925"/>
        <w:gridCol w:w="740"/>
        <w:gridCol w:w="820"/>
        <w:gridCol w:w="925"/>
        <w:gridCol w:w="735"/>
        <w:gridCol w:w="925"/>
        <w:gridCol w:w="722"/>
        <w:gridCol w:w="680"/>
        <w:gridCol w:w="960"/>
        <w:gridCol w:w="980"/>
      </w:tblGrid>
      <w:tr w:rsidR="00233FC4" w:rsidRPr="00233FC4" w:rsidTr="003C288D">
        <w:trPr>
          <w:trHeight w:val="480"/>
        </w:trPr>
        <w:tc>
          <w:tcPr>
            <w:tcW w:w="11400" w:type="dxa"/>
            <w:gridSpan w:val="13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A93C5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Tabl. 4. </w:t>
            </w:r>
            <w:r w:rsidR="00233FC4" w:rsidRPr="00233FC4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Ewidencja skarg na </w:t>
            </w:r>
            <w:r w:rsidR="003C288D" w:rsidRPr="00233FC4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>przewlekłość</w:t>
            </w:r>
            <w:r w:rsidR="00233FC4" w:rsidRPr="00233FC4">
              <w:rPr>
                <w:rFonts w:ascii="Arial Narrow" w:eastAsia="Times New Roman" w:hAnsi="Arial Narrow" w:cs="Times New Roman"/>
                <w:b/>
                <w:bCs/>
                <w:color w:val="000000"/>
                <w:lang w:eastAsia="pl-PL"/>
              </w:rPr>
              <w:t xml:space="preserve"> postępowania w latach 2010-2014</w:t>
            </w:r>
          </w:p>
        </w:tc>
      </w:tr>
      <w:tr w:rsidR="00233FC4" w:rsidRPr="00233FC4" w:rsidTr="003C288D">
        <w:trPr>
          <w:trHeight w:val="330"/>
        </w:trPr>
        <w:tc>
          <w:tcPr>
            <w:tcW w:w="1453" w:type="dxa"/>
            <w:vMerge w:val="restar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Wpłynęło</w:t>
            </w:r>
          </w:p>
        </w:tc>
        <w:tc>
          <w:tcPr>
            <w:tcW w:w="7192" w:type="dxa"/>
            <w:gridSpan w:val="9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Załatwiono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  <w:t>Ogólna kwota zasądzonych odszkodowań (PLN)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  <w:t>Średnia zasądzona kwota odszkodowań w sprawie (PLN)</w:t>
            </w:r>
          </w:p>
        </w:tc>
      </w:tr>
      <w:tr w:rsidR="00233FC4" w:rsidRPr="00233FC4" w:rsidTr="00D80DFC">
        <w:trPr>
          <w:trHeight w:val="292"/>
        </w:trPr>
        <w:tc>
          <w:tcPr>
            <w:tcW w:w="1453" w:type="dxa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6472" w:type="dxa"/>
            <w:gridSpan w:val="8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w tym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</w:tr>
      <w:tr w:rsidR="00233FC4" w:rsidRPr="00233FC4" w:rsidTr="00D80DFC">
        <w:trPr>
          <w:trHeight w:val="333"/>
        </w:trPr>
        <w:tc>
          <w:tcPr>
            <w:tcW w:w="1453" w:type="dxa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2485" w:type="dxa"/>
            <w:gridSpan w:val="3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8"/>
                <w:szCs w:val="18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8"/>
                <w:szCs w:val="18"/>
                <w:lang w:eastAsia="pl-PL"/>
              </w:rPr>
              <w:t>uwzględniono w całości lub części</w:t>
            </w:r>
          </w:p>
        </w:tc>
        <w:tc>
          <w:tcPr>
            <w:tcW w:w="16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oddalono</w:t>
            </w:r>
          </w:p>
        </w:tc>
        <w:tc>
          <w:tcPr>
            <w:tcW w:w="1647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odrzucono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  <w:t>w inny sposób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</w:tr>
      <w:tr w:rsidR="00233FC4" w:rsidRPr="00233FC4" w:rsidTr="003C288D">
        <w:trPr>
          <w:trHeight w:val="345"/>
        </w:trPr>
        <w:tc>
          <w:tcPr>
            <w:tcW w:w="1453" w:type="dxa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1665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8"/>
                <w:szCs w:val="18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w tym przez zasądzenie kwoty pieniężnej</w:t>
            </w:r>
          </w:p>
        </w:tc>
        <w:tc>
          <w:tcPr>
            <w:tcW w:w="925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w liczbach bezwzględnych</w:t>
            </w:r>
          </w:p>
        </w:tc>
        <w:tc>
          <w:tcPr>
            <w:tcW w:w="735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 xml:space="preserve">% do liczby </w:t>
            </w:r>
            <w:proofErr w:type="spellStart"/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załatwień</w:t>
            </w:r>
            <w:proofErr w:type="spellEnd"/>
          </w:p>
        </w:tc>
        <w:tc>
          <w:tcPr>
            <w:tcW w:w="925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w liczbach bezwzględnych</w:t>
            </w:r>
          </w:p>
        </w:tc>
        <w:tc>
          <w:tcPr>
            <w:tcW w:w="722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 xml:space="preserve">% do liczby </w:t>
            </w:r>
            <w:proofErr w:type="spellStart"/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załatwień</w:t>
            </w:r>
            <w:proofErr w:type="spellEnd"/>
          </w:p>
        </w:tc>
        <w:tc>
          <w:tcPr>
            <w:tcW w:w="68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</w:tr>
      <w:tr w:rsidR="003C288D" w:rsidRPr="00233FC4" w:rsidTr="00D80DFC">
        <w:trPr>
          <w:trHeight w:val="418"/>
        </w:trPr>
        <w:tc>
          <w:tcPr>
            <w:tcW w:w="1453" w:type="dxa"/>
            <w:vMerge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815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w liczbach bezwzględnych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 xml:space="preserve">% do liczby </w:t>
            </w:r>
            <w:proofErr w:type="spellStart"/>
            <w:r w:rsidRPr="00233FC4"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  <w:t>załatwień</w:t>
            </w:r>
            <w:proofErr w:type="spellEnd"/>
          </w:p>
        </w:tc>
        <w:tc>
          <w:tcPr>
            <w:tcW w:w="82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925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735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925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722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4"/>
                <w:szCs w:val="14"/>
                <w:lang w:eastAsia="pl-PL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color w:val="FFFFFF"/>
                <w:sz w:val="16"/>
                <w:szCs w:val="16"/>
                <w:lang w:eastAsia="pl-PL"/>
              </w:rPr>
            </w:pPr>
          </w:p>
        </w:tc>
      </w:tr>
      <w:tr w:rsidR="00233FC4" w:rsidRPr="00233FC4" w:rsidTr="003C288D">
        <w:trPr>
          <w:trHeight w:val="285"/>
        </w:trPr>
        <w:tc>
          <w:tcPr>
            <w:tcW w:w="11400" w:type="dxa"/>
            <w:gridSpan w:val="13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  <w:t>2010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5 327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5 130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1 013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19,7%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926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1 947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38,0%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1 167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22,7%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997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2 995 045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3 234</w:t>
            </w:r>
          </w:p>
        </w:tc>
      </w:tr>
      <w:tr w:rsidR="003C288D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 tego sprawy: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karne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2 188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2 119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16,3%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763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36,0%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268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1 141 100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3 500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cywilne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2 716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2 595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571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22,0%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518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1 003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38,7%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792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30,5%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1 578 890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3 048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ubezp</w:t>
            </w:r>
            <w:proofErr w:type="spellEnd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 społ.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13,5%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41,7%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37,5%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33 800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2 600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23,4%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42,7%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26,3%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147 755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3 993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gospodarcze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29,5%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45,6%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93 500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2 922</w:t>
            </w:r>
          </w:p>
        </w:tc>
      </w:tr>
      <w:tr w:rsidR="00233FC4" w:rsidRPr="00233FC4" w:rsidTr="003C288D">
        <w:trPr>
          <w:trHeight w:val="255"/>
        </w:trPr>
        <w:tc>
          <w:tcPr>
            <w:tcW w:w="114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  <w:t>2011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6 548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6 517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1 229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18,9%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1 167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2 293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35,2%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1 791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27,5%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3 652 050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3 129</w:t>
            </w:r>
          </w:p>
        </w:tc>
      </w:tr>
      <w:tr w:rsidR="003C288D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 tego sprawy: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karne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2 129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2 162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15,9%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330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764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35,3%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271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1 154 100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3 497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cywilne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3 871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3 819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760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19,9%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720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1 305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34,2%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1 380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371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2 144 350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2 978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ubezp</w:t>
            </w:r>
            <w:proofErr w:type="spellEnd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 społ.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15,4%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45,6%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35,3%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76 000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4 222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24,8%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46,2%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22,1%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100 000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2 941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gospodarcze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27,1%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37,3%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23,5%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177 600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2 732</w:t>
            </w:r>
          </w:p>
        </w:tc>
      </w:tr>
      <w:tr w:rsidR="00233FC4" w:rsidRPr="00233FC4" w:rsidTr="003C288D">
        <w:trPr>
          <w:trHeight w:val="255"/>
        </w:trPr>
        <w:tc>
          <w:tcPr>
            <w:tcW w:w="114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  <w:t>2012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8 665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8 454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1 522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18,0%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1 453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2 743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32,4%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2 995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35,4%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1 193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3 998 256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2 752</w:t>
            </w:r>
          </w:p>
        </w:tc>
      </w:tr>
      <w:tr w:rsidR="003C288D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 tego sprawy: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karne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2 211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2 226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14,7%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833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37,4%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282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1 050 000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3 312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cywilne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5 457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5 261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777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14,8%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747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1 553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29,5%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2 554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48,5%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2 089 739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2 798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ubezp</w:t>
            </w:r>
            <w:proofErr w:type="spellEnd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 społ.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526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513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54,6%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259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34,1%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9,7%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535 000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2 066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17,1%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52,9%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22,9%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70 000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3 500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gospodarcze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314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36,0%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34,4%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253 517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2 305</w:t>
            </w:r>
          </w:p>
        </w:tc>
      </w:tr>
      <w:tr w:rsidR="00233FC4" w:rsidRPr="00233FC4" w:rsidTr="003C288D">
        <w:trPr>
          <w:trHeight w:val="255"/>
        </w:trPr>
        <w:tc>
          <w:tcPr>
            <w:tcW w:w="114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  <w:t>2013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12 532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12 125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1 585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13,1%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1 525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3 448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28,4%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5 632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46,4%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1 460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4 504 489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2 954</w:t>
            </w:r>
          </w:p>
        </w:tc>
      </w:tr>
      <w:tr w:rsidR="003C288D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 tego sprawy: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karne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2 581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2 548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426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16,7%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413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918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36,0%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322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882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1 324 000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3 206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cywilne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8 996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8 654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958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11,1%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921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2 129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24,6%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5 068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58,6%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2 695 395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2 927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ubezp</w:t>
            </w:r>
            <w:proofErr w:type="spellEnd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 społ.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22,2%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44,3%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31,0%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120 000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2 791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15,2%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52,5%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26,5%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69 220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2 884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gospodarcze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558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516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24,2%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39,5%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24,2%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295 874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2 386</w:t>
            </w:r>
          </w:p>
        </w:tc>
      </w:tr>
      <w:tr w:rsidR="00233FC4" w:rsidRPr="00233FC4" w:rsidTr="003C288D">
        <w:trPr>
          <w:trHeight w:val="255"/>
        </w:trPr>
        <w:tc>
          <w:tcPr>
            <w:tcW w:w="114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color w:val="FFFFFF"/>
                <w:sz w:val="20"/>
                <w:szCs w:val="20"/>
                <w:lang w:eastAsia="pl-PL"/>
              </w:rPr>
              <w:t>2014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16 286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16 318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1 781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10,9%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1 735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3 661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22,4%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8 475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51,9%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2 403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4 806 390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000000" w:fill="C4D79B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2 770</w:t>
            </w:r>
          </w:p>
        </w:tc>
      </w:tr>
      <w:tr w:rsidR="003C288D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 tego sprawy: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karne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3 076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3 072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13,5%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402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1 057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34,4%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505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16,4%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1 097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1 120 500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2 787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cywilne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12 109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12 143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1 124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9,3%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1 097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2 182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18,0%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7 620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62,8%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1 217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3 113 190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2 838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proofErr w:type="spellStart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ubezp</w:t>
            </w:r>
            <w:proofErr w:type="spellEnd"/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 społ.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14,4%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43,7%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36,8%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61 000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2 440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prawa pracy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20,3%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46,2%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29,9%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97 400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2 563</w:t>
            </w:r>
          </w:p>
        </w:tc>
      </w:tr>
      <w:tr w:rsidR="00233FC4" w:rsidRPr="00233FC4" w:rsidTr="003C288D">
        <w:trPr>
          <w:trHeight w:val="255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ind w:firstLineChars="100" w:firstLine="20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gospodarcze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732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732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24,2%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255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34,8%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227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31,0%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414 300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3FC4" w:rsidRPr="00233FC4" w:rsidRDefault="00233FC4" w:rsidP="00233FC4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33FC4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2 395</w:t>
            </w:r>
          </w:p>
        </w:tc>
      </w:tr>
    </w:tbl>
    <w:p w:rsidR="003C3528" w:rsidRDefault="003C3528" w:rsidP="003C3528">
      <w:pPr>
        <w:pStyle w:val="Nagwek1"/>
        <w:jc w:val="both"/>
        <w:rPr>
          <w:rFonts w:ascii="Arial" w:hAnsi="Arial" w:cs="Arial"/>
          <w:b w:val="0"/>
          <w:sz w:val="22"/>
          <w:szCs w:val="22"/>
        </w:rPr>
      </w:pPr>
      <w:r w:rsidRPr="00B4568D">
        <w:rPr>
          <w:rFonts w:ascii="Arial" w:hAnsi="Arial" w:cs="Arial"/>
          <w:b w:val="0"/>
          <w:sz w:val="22"/>
          <w:szCs w:val="22"/>
        </w:rPr>
        <w:lastRenderedPageBreak/>
        <w:t>Tryb wnoszenia i roz</w:t>
      </w:r>
      <w:r>
        <w:rPr>
          <w:rFonts w:ascii="Arial" w:hAnsi="Arial" w:cs="Arial"/>
          <w:b w:val="0"/>
          <w:sz w:val="22"/>
          <w:szCs w:val="22"/>
        </w:rPr>
        <w:t>poznawania</w:t>
      </w:r>
      <w:r w:rsidRPr="00B4568D">
        <w:rPr>
          <w:rFonts w:ascii="Arial" w:hAnsi="Arial" w:cs="Arial"/>
          <w:b w:val="0"/>
          <w:sz w:val="22"/>
          <w:szCs w:val="22"/>
        </w:rPr>
        <w:t xml:space="preserve"> skarg na przewlekłość postępowania sądowego </w:t>
      </w:r>
      <w:r>
        <w:rPr>
          <w:rFonts w:ascii="Arial" w:hAnsi="Arial" w:cs="Arial"/>
          <w:b w:val="0"/>
          <w:sz w:val="22"/>
          <w:szCs w:val="22"/>
        </w:rPr>
        <w:br/>
      </w:r>
      <w:r w:rsidRPr="00B4568D">
        <w:rPr>
          <w:rFonts w:ascii="Arial" w:hAnsi="Arial" w:cs="Arial"/>
          <w:b w:val="0"/>
          <w:sz w:val="22"/>
          <w:szCs w:val="22"/>
        </w:rPr>
        <w:t>i przygotowawczego</w:t>
      </w:r>
      <w:r>
        <w:rPr>
          <w:rFonts w:ascii="Arial" w:hAnsi="Arial" w:cs="Arial"/>
          <w:b w:val="0"/>
          <w:sz w:val="22"/>
          <w:szCs w:val="22"/>
        </w:rPr>
        <w:t xml:space="preserve"> reguluje ustawa </w:t>
      </w:r>
      <w:r w:rsidRPr="00B4568D">
        <w:rPr>
          <w:rFonts w:ascii="Arial" w:hAnsi="Arial" w:cs="Arial"/>
          <w:b w:val="0"/>
          <w:sz w:val="22"/>
          <w:szCs w:val="22"/>
        </w:rPr>
        <w:t xml:space="preserve">z dnia 17 czerwca 2004 r. </w:t>
      </w:r>
      <w:r>
        <w:rPr>
          <w:rFonts w:ascii="Arial" w:hAnsi="Arial" w:cs="Arial"/>
          <w:b w:val="0"/>
          <w:sz w:val="22"/>
          <w:szCs w:val="22"/>
        </w:rPr>
        <w:t xml:space="preserve">- </w:t>
      </w:r>
      <w:r w:rsidRPr="00C50D94">
        <w:rPr>
          <w:rFonts w:ascii="Arial" w:hAnsi="Arial" w:cs="Arial"/>
          <w:b w:val="0"/>
          <w:i/>
          <w:sz w:val="22"/>
          <w:szCs w:val="22"/>
        </w:rPr>
        <w:t xml:space="preserve">Ustawa o skardze na </w:t>
      </w:r>
      <w:bookmarkStart w:id="1" w:name="highlightHit_0"/>
      <w:bookmarkEnd w:id="1"/>
      <w:r w:rsidRPr="00C50D94">
        <w:rPr>
          <w:rFonts w:ascii="Arial" w:hAnsi="Arial" w:cs="Arial"/>
          <w:b w:val="0"/>
          <w:i/>
          <w:sz w:val="22"/>
          <w:szCs w:val="22"/>
        </w:rPr>
        <w:t xml:space="preserve">naruszenie </w:t>
      </w:r>
      <w:bookmarkStart w:id="2" w:name="highlightHit_1"/>
      <w:bookmarkEnd w:id="2"/>
      <w:r w:rsidRPr="00C50D94">
        <w:rPr>
          <w:rFonts w:ascii="Arial" w:hAnsi="Arial" w:cs="Arial"/>
          <w:b w:val="0"/>
          <w:i/>
          <w:sz w:val="22"/>
          <w:szCs w:val="22"/>
        </w:rPr>
        <w:t xml:space="preserve">prawa </w:t>
      </w:r>
      <w:bookmarkStart w:id="3" w:name="highlightHit_2"/>
      <w:bookmarkEnd w:id="3"/>
      <w:r w:rsidRPr="00C50D94">
        <w:rPr>
          <w:rFonts w:ascii="Arial" w:hAnsi="Arial" w:cs="Arial"/>
          <w:b w:val="0"/>
          <w:i/>
          <w:sz w:val="22"/>
          <w:szCs w:val="22"/>
        </w:rPr>
        <w:t>strony do rozpoznania sprawy w postępowaniu przygotowawczym prowadzonym lub nadzorowanym przez prokuratora i postępowaniu sądowym bez nieuzasadnionej zwłoki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hyperlink r:id="rId21" w:history="1">
        <w:r w:rsidRPr="00C50D94">
          <w:rPr>
            <w:rFonts w:ascii="Arial" w:hAnsi="Arial" w:cs="Arial"/>
            <w:b w:val="0"/>
            <w:sz w:val="22"/>
            <w:szCs w:val="22"/>
          </w:rPr>
          <w:t>(</w:t>
        </w:r>
        <w:proofErr w:type="spellStart"/>
        <w:r w:rsidRPr="00C50D94">
          <w:rPr>
            <w:rFonts w:ascii="Arial" w:hAnsi="Arial" w:cs="Arial"/>
            <w:b w:val="0"/>
            <w:sz w:val="22"/>
            <w:szCs w:val="22"/>
          </w:rPr>
          <w:t>Dz.U</w:t>
        </w:r>
        <w:proofErr w:type="spellEnd"/>
        <w:r w:rsidRPr="00C50D94">
          <w:rPr>
            <w:rFonts w:ascii="Arial" w:hAnsi="Arial" w:cs="Arial"/>
            <w:b w:val="0"/>
            <w:sz w:val="22"/>
            <w:szCs w:val="22"/>
          </w:rPr>
          <w:t>. Nr 179, poz. 1843)</w:t>
        </w:r>
      </w:hyperlink>
      <w:r w:rsidRPr="00C50D94">
        <w:rPr>
          <w:rFonts w:ascii="Arial" w:hAnsi="Arial" w:cs="Arial"/>
          <w:b w:val="0"/>
          <w:sz w:val="22"/>
          <w:szCs w:val="22"/>
        </w:rPr>
        <w:t>.</w:t>
      </w:r>
    </w:p>
    <w:p w:rsidR="00FE064C" w:rsidRPr="00B05BF8" w:rsidRDefault="00B05BF8" w:rsidP="00A361F6">
      <w:pPr>
        <w:jc w:val="both"/>
        <w:rPr>
          <w:rFonts w:ascii="Arial" w:hAnsi="Arial" w:cs="Arial"/>
        </w:rPr>
      </w:pPr>
      <w:r w:rsidRPr="00B05BF8">
        <w:rPr>
          <w:rFonts w:ascii="Arial" w:hAnsi="Arial" w:cs="Arial"/>
        </w:rPr>
        <w:t xml:space="preserve">Wpływ skarg na przestrzeni ostatnich lat </w:t>
      </w:r>
      <w:r>
        <w:rPr>
          <w:rFonts w:ascii="Arial" w:hAnsi="Arial" w:cs="Arial"/>
        </w:rPr>
        <w:t xml:space="preserve">charakteryzuje się dużą dynamiką. Od roku 2012 liczba skarg zarejestrowanych w sądach wzrosła </w:t>
      </w:r>
      <w:r w:rsidR="00EB6599">
        <w:rPr>
          <w:rFonts w:ascii="Arial" w:hAnsi="Arial" w:cs="Arial"/>
        </w:rPr>
        <w:t xml:space="preserve">o ponad 200% - z 5,3 tys. do 16,3 tys. Największy procentowy wzrost odnotowano w kategorii skarg na postępowanie </w:t>
      </w:r>
      <w:r w:rsidR="007430C6">
        <w:rPr>
          <w:rFonts w:ascii="Arial" w:hAnsi="Arial" w:cs="Arial"/>
        </w:rPr>
        <w:t xml:space="preserve">gospodarcze – o 363,3%, a najmniejszy na postępowanie z zakresu prawa pracy – o 15%. Największy wzrost w liczbach bezwzględnych zarejestrowano w skargach na postępowanie cywilne </w:t>
      </w:r>
      <w:r w:rsidR="003175EB">
        <w:rPr>
          <w:rFonts w:ascii="Arial" w:hAnsi="Arial" w:cs="Arial"/>
        </w:rPr>
        <w:br/>
      </w:r>
      <w:r w:rsidR="007430C6">
        <w:rPr>
          <w:rFonts w:ascii="Arial" w:hAnsi="Arial" w:cs="Arial"/>
        </w:rPr>
        <w:t xml:space="preserve">-  </w:t>
      </w:r>
      <w:r w:rsidR="003175EB">
        <w:rPr>
          <w:rFonts w:ascii="Arial" w:hAnsi="Arial" w:cs="Arial"/>
        </w:rPr>
        <w:t>z 2716 spraw w 2010 roku do 12109 spraw w roku 2014.</w:t>
      </w:r>
    </w:p>
    <w:p w:rsidR="003C288D" w:rsidRDefault="003C288D">
      <w:pPr>
        <w:jc w:val="center"/>
        <w:rPr>
          <w:rFonts w:ascii="Arial" w:hAnsi="Arial" w:cs="Arial"/>
          <w:b/>
          <w:sz w:val="24"/>
          <w:szCs w:val="24"/>
        </w:rPr>
      </w:pPr>
    </w:p>
    <w:p w:rsidR="003C288D" w:rsidRDefault="003C288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32D3B46" wp14:editId="3947C838">
            <wp:extent cx="5200650" cy="4143375"/>
            <wp:effectExtent l="0" t="0" r="19050" b="9525"/>
            <wp:docPr id="8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BF4466" w:rsidRDefault="00BF4466" w:rsidP="001B76E3">
      <w:pPr>
        <w:jc w:val="both"/>
        <w:rPr>
          <w:rFonts w:ascii="Arial" w:hAnsi="Arial" w:cs="Arial"/>
        </w:rPr>
      </w:pPr>
    </w:p>
    <w:p w:rsidR="00BF4466" w:rsidRDefault="00BF4466" w:rsidP="001B76E3">
      <w:pPr>
        <w:jc w:val="both"/>
        <w:rPr>
          <w:rFonts w:ascii="Arial" w:hAnsi="Arial" w:cs="Arial"/>
        </w:rPr>
      </w:pPr>
    </w:p>
    <w:p w:rsidR="00BF4466" w:rsidRDefault="00BF4466" w:rsidP="001B76E3">
      <w:pPr>
        <w:jc w:val="both"/>
        <w:rPr>
          <w:rFonts w:ascii="Arial" w:hAnsi="Arial" w:cs="Arial"/>
        </w:rPr>
      </w:pPr>
    </w:p>
    <w:p w:rsidR="00BF4466" w:rsidRDefault="00BF4466" w:rsidP="001B76E3">
      <w:pPr>
        <w:jc w:val="both"/>
        <w:rPr>
          <w:rFonts w:ascii="Arial" w:hAnsi="Arial" w:cs="Arial"/>
        </w:rPr>
      </w:pPr>
    </w:p>
    <w:p w:rsidR="00BF4466" w:rsidRDefault="00BF4466" w:rsidP="001B76E3">
      <w:pPr>
        <w:jc w:val="both"/>
        <w:rPr>
          <w:rFonts w:ascii="Arial" w:hAnsi="Arial" w:cs="Arial"/>
        </w:rPr>
      </w:pPr>
    </w:p>
    <w:p w:rsidR="00BF4466" w:rsidRDefault="00BF4466" w:rsidP="001B76E3">
      <w:pPr>
        <w:jc w:val="both"/>
        <w:rPr>
          <w:rFonts w:ascii="Arial" w:hAnsi="Arial" w:cs="Arial"/>
        </w:rPr>
      </w:pPr>
    </w:p>
    <w:p w:rsidR="003C288D" w:rsidRPr="001B76E3" w:rsidRDefault="001B76E3" w:rsidP="001B76E3">
      <w:pPr>
        <w:jc w:val="both"/>
        <w:rPr>
          <w:rFonts w:ascii="Arial" w:hAnsi="Arial" w:cs="Arial"/>
        </w:rPr>
      </w:pPr>
      <w:r w:rsidRPr="001B76E3">
        <w:rPr>
          <w:rFonts w:ascii="Arial" w:hAnsi="Arial" w:cs="Arial"/>
        </w:rPr>
        <w:lastRenderedPageBreak/>
        <w:t xml:space="preserve">Na przestrzeni ostatnich pięciu lat dosyć znacznie zmieniła się </w:t>
      </w:r>
      <w:r w:rsidR="00BF4466">
        <w:rPr>
          <w:rFonts w:ascii="Arial" w:hAnsi="Arial" w:cs="Arial"/>
        </w:rPr>
        <w:t xml:space="preserve">struktura rodzajów </w:t>
      </w:r>
      <w:proofErr w:type="spellStart"/>
      <w:r w:rsidR="00BF4466">
        <w:rPr>
          <w:rFonts w:ascii="Arial" w:hAnsi="Arial" w:cs="Arial"/>
        </w:rPr>
        <w:t>załatwień</w:t>
      </w:r>
      <w:proofErr w:type="spellEnd"/>
      <w:r w:rsidR="00BF4466">
        <w:rPr>
          <w:rFonts w:ascii="Arial" w:hAnsi="Arial" w:cs="Arial"/>
        </w:rPr>
        <w:t xml:space="preserve"> skarg. </w:t>
      </w:r>
      <w:r w:rsidR="00342100">
        <w:rPr>
          <w:rFonts w:ascii="Arial" w:hAnsi="Arial" w:cs="Arial"/>
        </w:rPr>
        <w:t xml:space="preserve">W roku 2010 skargi najczęściej były przez sąd </w:t>
      </w:r>
      <w:r w:rsidR="00320188">
        <w:rPr>
          <w:rFonts w:ascii="Arial" w:hAnsi="Arial" w:cs="Arial"/>
        </w:rPr>
        <w:t>oddalane</w:t>
      </w:r>
      <w:r w:rsidR="00F52863">
        <w:rPr>
          <w:rFonts w:ascii="Arial" w:hAnsi="Arial" w:cs="Arial"/>
        </w:rPr>
        <w:t xml:space="preserve"> (38,0%) </w:t>
      </w:r>
      <w:r w:rsidR="00320188">
        <w:rPr>
          <w:rFonts w:ascii="Arial" w:hAnsi="Arial" w:cs="Arial"/>
        </w:rPr>
        <w:t>, a w roku 2014 – odrzucane</w:t>
      </w:r>
      <w:r w:rsidR="00F52863">
        <w:rPr>
          <w:rFonts w:ascii="Arial" w:hAnsi="Arial" w:cs="Arial"/>
        </w:rPr>
        <w:t xml:space="preserve"> (aż 51,9%)</w:t>
      </w:r>
      <w:r w:rsidR="00320188">
        <w:rPr>
          <w:rFonts w:ascii="Arial" w:hAnsi="Arial" w:cs="Arial"/>
        </w:rPr>
        <w:t xml:space="preserve">. </w:t>
      </w:r>
      <w:r w:rsidR="00BC7A2E">
        <w:rPr>
          <w:rFonts w:ascii="Arial" w:hAnsi="Arial" w:cs="Arial"/>
        </w:rPr>
        <w:t xml:space="preserve">Ponadto </w:t>
      </w:r>
      <w:r w:rsidR="00F52863">
        <w:rPr>
          <w:rFonts w:ascii="Arial" w:hAnsi="Arial" w:cs="Arial"/>
        </w:rPr>
        <w:t xml:space="preserve">zauważyć należy, iż </w:t>
      </w:r>
      <w:r w:rsidR="00BC7A2E">
        <w:rPr>
          <w:rFonts w:ascii="Arial" w:hAnsi="Arial" w:cs="Arial"/>
        </w:rPr>
        <w:t>o</w:t>
      </w:r>
      <w:r w:rsidR="00320188">
        <w:rPr>
          <w:rFonts w:ascii="Arial" w:hAnsi="Arial" w:cs="Arial"/>
        </w:rPr>
        <w:t xml:space="preserve">dsetek skarg odrzucanych </w:t>
      </w:r>
      <w:r w:rsidR="00BC7A2E">
        <w:rPr>
          <w:rFonts w:ascii="Arial" w:hAnsi="Arial" w:cs="Arial"/>
        </w:rPr>
        <w:t xml:space="preserve">charakteryzuje się znaczną dynamiką </w:t>
      </w:r>
      <w:r w:rsidR="00F52863">
        <w:rPr>
          <w:rFonts w:ascii="Arial" w:hAnsi="Arial" w:cs="Arial"/>
        </w:rPr>
        <w:t xml:space="preserve">przyrostową </w:t>
      </w:r>
      <w:r w:rsidR="00BC7A2E">
        <w:rPr>
          <w:rFonts w:ascii="Arial" w:hAnsi="Arial" w:cs="Arial"/>
        </w:rPr>
        <w:t>w ostatnich latach.</w:t>
      </w:r>
      <w:r w:rsidR="00F52863">
        <w:rPr>
          <w:rFonts w:ascii="Arial" w:hAnsi="Arial" w:cs="Arial"/>
        </w:rPr>
        <w:t xml:space="preserve"> Spada regularnie liczba skarg uwzględnianych</w:t>
      </w:r>
      <w:r w:rsidR="00524995">
        <w:rPr>
          <w:rFonts w:ascii="Arial" w:hAnsi="Arial" w:cs="Arial"/>
        </w:rPr>
        <w:t xml:space="preserve"> i oddalonych.</w:t>
      </w:r>
      <w:r w:rsidR="00F52863">
        <w:rPr>
          <w:rFonts w:ascii="Arial" w:hAnsi="Arial" w:cs="Arial"/>
        </w:rPr>
        <w:t xml:space="preserve"> </w:t>
      </w:r>
    </w:p>
    <w:p w:rsidR="003C288D" w:rsidRDefault="003C288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1D8D361" wp14:editId="4631EB35">
            <wp:extent cx="5734050" cy="2962275"/>
            <wp:effectExtent l="0" t="0" r="19050" b="9525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114353" w:rsidRDefault="00E626B7" w:rsidP="001C7C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Jednym z mierników opisujących tendencje we wpływie i rozstrzyganiu skarg na przewlekłość postępowania</w:t>
      </w:r>
      <w:r w:rsidR="007F6FDA">
        <w:rPr>
          <w:rFonts w:ascii="Arial" w:hAnsi="Arial" w:cs="Arial"/>
        </w:rPr>
        <w:t xml:space="preserve"> jest</w:t>
      </w:r>
      <w:r>
        <w:rPr>
          <w:rFonts w:ascii="Arial" w:hAnsi="Arial" w:cs="Arial"/>
        </w:rPr>
        <w:t xml:space="preserve"> </w:t>
      </w:r>
      <w:r w:rsidR="007F6FDA" w:rsidRPr="007F6FDA">
        <w:rPr>
          <w:rFonts w:ascii="Arial" w:hAnsi="Arial" w:cs="Arial"/>
          <w:i/>
        </w:rPr>
        <w:t>o</w:t>
      </w:r>
      <w:r w:rsidR="001C7C08" w:rsidRPr="007F6FDA">
        <w:rPr>
          <w:rFonts w:ascii="Arial" w:hAnsi="Arial" w:cs="Arial"/>
          <w:i/>
        </w:rPr>
        <w:t xml:space="preserve">dsetek spraw, w których uwzględniono skargę na naruszenie prawa strony do rozpoznania sprawy w postępowaniu sądowym bez nieuzasadnionej zwłoki (odsetek skarg uwzględnionych w odniesieniu do liczby </w:t>
      </w:r>
      <w:r w:rsidR="007F6FDA">
        <w:rPr>
          <w:rFonts w:ascii="Arial" w:hAnsi="Arial" w:cs="Arial"/>
          <w:i/>
        </w:rPr>
        <w:t xml:space="preserve">spraw rozpatrywanych przez sąd). </w:t>
      </w:r>
      <w:r w:rsidR="007F6FDA" w:rsidRPr="007F6FDA">
        <w:rPr>
          <w:rFonts w:ascii="Arial" w:hAnsi="Arial" w:cs="Arial"/>
        </w:rPr>
        <w:t xml:space="preserve">Miernik ten stanowi </w:t>
      </w:r>
      <w:r w:rsidR="001C7C08" w:rsidRPr="007F6FDA">
        <w:rPr>
          <w:rFonts w:ascii="Arial" w:hAnsi="Arial" w:cs="Arial"/>
        </w:rPr>
        <w:t>stosunek</w:t>
      </w:r>
      <w:r w:rsidR="001C7C08" w:rsidRPr="001C7C08">
        <w:rPr>
          <w:rFonts w:ascii="Arial" w:hAnsi="Arial" w:cs="Arial"/>
        </w:rPr>
        <w:t xml:space="preserve"> liczby spraw, w których uwzględniono skargę (ogółem w Sądach Apelacyjnych i Sądach Okręgowych) do liczby wpływu spraw dla wybranych repertoriów I instancji: Sądy okręgowe: C, CG-G, </w:t>
      </w:r>
      <w:proofErr w:type="spellStart"/>
      <w:r w:rsidR="001C7C08" w:rsidRPr="001C7C08">
        <w:rPr>
          <w:rFonts w:ascii="Arial" w:hAnsi="Arial" w:cs="Arial"/>
        </w:rPr>
        <w:t>Ns</w:t>
      </w:r>
      <w:proofErr w:type="spellEnd"/>
      <w:r w:rsidR="001C7C08" w:rsidRPr="001C7C08">
        <w:rPr>
          <w:rFonts w:ascii="Arial" w:hAnsi="Arial" w:cs="Arial"/>
        </w:rPr>
        <w:t xml:space="preserve"> (z wył. rej.), </w:t>
      </w:r>
      <w:proofErr w:type="spellStart"/>
      <w:r w:rsidR="001C7C08" w:rsidRPr="001C7C08">
        <w:rPr>
          <w:rFonts w:ascii="Arial" w:hAnsi="Arial" w:cs="Arial"/>
        </w:rPr>
        <w:t>Nc</w:t>
      </w:r>
      <w:proofErr w:type="spellEnd"/>
      <w:r w:rsidR="001C7C08" w:rsidRPr="001C7C08">
        <w:rPr>
          <w:rFonts w:ascii="Arial" w:hAnsi="Arial" w:cs="Arial"/>
        </w:rPr>
        <w:t xml:space="preserve">, Co, K, U, P, GC, </w:t>
      </w:r>
      <w:proofErr w:type="spellStart"/>
      <w:r w:rsidR="001C7C08" w:rsidRPr="001C7C08">
        <w:rPr>
          <w:rFonts w:ascii="Arial" w:hAnsi="Arial" w:cs="Arial"/>
        </w:rPr>
        <w:t>GNs</w:t>
      </w:r>
      <w:proofErr w:type="spellEnd"/>
      <w:r w:rsidR="001C7C08" w:rsidRPr="001C7C08">
        <w:rPr>
          <w:rFonts w:ascii="Arial" w:hAnsi="Arial" w:cs="Arial"/>
        </w:rPr>
        <w:t xml:space="preserve">, </w:t>
      </w:r>
      <w:proofErr w:type="spellStart"/>
      <w:r w:rsidR="001C7C08" w:rsidRPr="001C7C08">
        <w:rPr>
          <w:rFonts w:ascii="Arial" w:hAnsi="Arial" w:cs="Arial"/>
        </w:rPr>
        <w:t>GNc</w:t>
      </w:r>
      <w:proofErr w:type="spellEnd"/>
      <w:r w:rsidR="001C7C08" w:rsidRPr="001C7C08">
        <w:rPr>
          <w:rFonts w:ascii="Arial" w:hAnsi="Arial" w:cs="Arial"/>
        </w:rPr>
        <w:t xml:space="preserve">; Sądy rejonowe: C, CG-G, </w:t>
      </w:r>
      <w:proofErr w:type="spellStart"/>
      <w:r w:rsidR="001C7C08" w:rsidRPr="001C7C08">
        <w:rPr>
          <w:rFonts w:ascii="Arial" w:hAnsi="Arial" w:cs="Arial"/>
        </w:rPr>
        <w:t>Ns</w:t>
      </w:r>
      <w:proofErr w:type="spellEnd"/>
      <w:r w:rsidR="001C7C08" w:rsidRPr="001C7C08">
        <w:rPr>
          <w:rFonts w:ascii="Arial" w:hAnsi="Arial" w:cs="Arial"/>
        </w:rPr>
        <w:t xml:space="preserve">, </w:t>
      </w:r>
      <w:proofErr w:type="spellStart"/>
      <w:r w:rsidR="001C7C08" w:rsidRPr="001C7C08">
        <w:rPr>
          <w:rFonts w:ascii="Arial" w:hAnsi="Arial" w:cs="Arial"/>
        </w:rPr>
        <w:t>Nc</w:t>
      </w:r>
      <w:proofErr w:type="spellEnd"/>
      <w:r w:rsidR="001C7C08" w:rsidRPr="001C7C08">
        <w:rPr>
          <w:rFonts w:ascii="Arial" w:hAnsi="Arial" w:cs="Arial"/>
        </w:rPr>
        <w:t xml:space="preserve">, K, </w:t>
      </w:r>
      <w:proofErr w:type="spellStart"/>
      <w:r w:rsidR="001C7C08" w:rsidRPr="001C7C08">
        <w:rPr>
          <w:rFonts w:ascii="Arial" w:hAnsi="Arial" w:cs="Arial"/>
        </w:rPr>
        <w:t>Kp</w:t>
      </w:r>
      <w:proofErr w:type="spellEnd"/>
      <w:r w:rsidR="001C7C08" w:rsidRPr="001C7C08">
        <w:rPr>
          <w:rFonts w:ascii="Arial" w:hAnsi="Arial" w:cs="Arial"/>
        </w:rPr>
        <w:t xml:space="preserve">, W, U, P, Np., RC, </w:t>
      </w:r>
      <w:proofErr w:type="spellStart"/>
      <w:r w:rsidR="001C7C08" w:rsidRPr="001C7C08">
        <w:rPr>
          <w:rFonts w:ascii="Arial" w:hAnsi="Arial" w:cs="Arial"/>
        </w:rPr>
        <w:t>RNs</w:t>
      </w:r>
      <w:proofErr w:type="spellEnd"/>
      <w:r w:rsidR="001C7C08" w:rsidRPr="001C7C08">
        <w:rPr>
          <w:rFonts w:ascii="Arial" w:hAnsi="Arial" w:cs="Arial"/>
        </w:rPr>
        <w:t xml:space="preserve">, </w:t>
      </w:r>
      <w:proofErr w:type="spellStart"/>
      <w:r w:rsidR="001C7C08" w:rsidRPr="001C7C08">
        <w:rPr>
          <w:rFonts w:ascii="Arial" w:hAnsi="Arial" w:cs="Arial"/>
        </w:rPr>
        <w:t>Nsm</w:t>
      </w:r>
      <w:proofErr w:type="spellEnd"/>
      <w:r w:rsidR="001C7C08" w:rsidRPr="001C7C08">
        <w:rPr>
          <w:rFonts w:ascii="Arial" w:hAnsi="Arial" w:cs="Arial"/>
        </w:rPr>
        <w:t xml:space="preserve">, GC, </w:t>
      </w:r>
      <w:proofErr w:type="spellStart"/>
      <w:r w:rsidR="001C7C08" w:rsidRPr="001C7C08">
        <w:rPr>
          <w:rFonts w:ascii="Arial" w:hAnsi="Arial" w:cs="Arial"/>
        </w:rPr>
        <w:t>GNs</w:t>
      </w:r>
      <w:proofErr w:type="spellEnd"/>
      <w:r w:rsidR="001C7C08" w:rsidRPr="001C7C08">
        <w:rPr>
          <w:rFonts w:ascii="Arial" w:hAnsi="Arial" w:cs="Arial"/>
        </w:rPr>
        <w:t xml:space="preserve">, </w:t>
      </w:r>
      <w:proofErr w:type="spellStart"/>
      <w:r w:rsidR="001C7C08" w:rsidRPr="001C7C08">
        <w:rPr>
          <w:rFonts w:ascii="Arial" w:hAnsi="Arial" w:cs="Arial"/>
        </w:rPr>
        <w:t>GNc</w:t>
      </w:r>
      <w:proofErr w:type="spellEnd"/>
      <w:r w:rsidR="001C7C08" w:rsidRPr="001C7C08">
        <w:rPr>
          <w:rFonts w:ascii="Arial" w:hAnsi="Arial" w:cs="Arial"/>
        </w:rPr>
        <w:t xml:space="preserve">, GU, </w:t>
      </w:r>
      <w:proofErr w:type="spellStart"/>
      <w:r w:rsidR="001C7C08" w:rsidRPr="001C7C08">
        <w:rPr>
          <w:rFonts w:ascii="Arial" w:hAnsi="Arial" w:cs="Arial"/>
        </w:rPr>
        <w:t>GUp</w:t>
      </w:r>
      <w:proofErr w:type="spellEnd"/>
      <w:r w:rsidR="001C7C08" w:rsidRPr="001C7C08">
        <w:rPr>
          <w:rFonts w:ascii="Arial" w:hAnsi="Arial" w:cs="Arial"/>
        </w:rPr>
        <w:t xml:space="preserve">, GN, </w:t>
      </w:r>
      <w:proofErr w:type="spellStart"/>
      <w:r w:rsidR="001C7C08" w:rsidRPr="001C7C08">
        <w:rPr>
          <w:rFonts w:ascii="Arial" w:hAnsi="Arial" w:cs="Arial"/>
        </w:rPr>
        <w:t>GZd</w:t>
      </w:r>
      <w:proofErr w:type="spellEnd"/>
      <w:r w:rsidR="001C7C08" w:rsidRPr="001C7C08">
        <w:rPr>
          <w:rFonts w:ascii="Arial" w:hAnsi="Arial" w:cs="Arial"/>
        </w:rPr>
        <w:t>, U.</w:t>
      </w:r>
    </w:p>
    <w:p w:rsidR="00096F0E" w:rsidRPr="001C7C08" w:rsidRDefault="00533FFB" w:rsidP="001C7C0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Wartość tego wskaźnika w ostatnich pięciu latach wa</w:t>
      </w:r>
      <w:r w:rsidR="00DC5779">
        <w:rPr>
          <w:rFonts w:ascii="Arial" w:hAnsi="Arial" w:cs="Arial"/>
        </w:rPr>
        <w:t>hała się w przedziale 0,019 % -</w:t>
      </w:r>
      <w:r>
        <w:rPr>
          <w:rFonts w:ascii="Arial" w:hAnsi="Arial" w:cs="Arial"/>
        </w:rPr>
        <w:t xml:space="preserve">0,025%, przy czym </w:t>
      </w:r>
      <w:r w:rsidR="007F7DD8">
        <w:rPr>
          <w:rFonts w:ascii="Arial" w:hAnsi="Arial" w:cs="Arial"/>
        </w:rPr>
        <w:t xml:space="preserve">największy wzrost nastąpił w ostatnim roku. </w:t>
      </w: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4192839" wp14:editId="5428CF9F">
            <wp:extent cx="5886450" cy="2171700"/>
            <wp:effectExtent l="0" t="0" r="19050" b="19050"/>
            <wp:docPr id="11" name="Wykres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342100" w:rsidRPr="008E1B02" w:rsidRDefault="008E1B02" w:rsidP="00485E74">
      <w:pPr>
        <w:jc w:val="both"/>
        <w:rPr>
          <w:rFonts w:ascii="Arial" w:hAnsi="Arial" w:cs="Arial"/>
        </w:rPr>
      </w:pPr>
      <w:r w:rsidRPr="008E1B02">
        <w:rPr>
          <w:rFonts w:ascii="Arial" w:hAnsi="Arial" w:cs="Arial"/>
        </w:rPr>
        <w:lastRenderedPageBreak/>
        <w:t>Ogólna kwota</w:t>
      </w:r>
      <w:r>
        <w:rPr>
          <w:rFonts w:ascii="Arial" w:hAnsi="Arial" w:cs="Arial"/>
        </w:rPr>
        <w:t xml:space="preserve"> odszkodowań za przewlekłość postępowania</w:t>
      </w:r>
      <w:r w:rsidR="00485E74">
        <w:rPr>
          <w:rFonts w:ascii="Arial" w:hAnsi="Arial" w:cs="Arial"/>
        </w:rPr>
        <w:t xml:space="preserve"> rośnie regularnie od kilku lat. </w:t>
      </w:r>
      <w:r w:rsidR="00DD1C09">
        <w:rPr>
          <w:rFonts w:ascii="Arial" w:hAnsi="Arial" w:cs="Arial"/>
        </w:rPr>
        <w:br/>
      </w:r>
      <w:r w:rsidR="00485E74">
        <w:rPr>
          <w:rFonts w:ascii="Arial" w:hAnsi="Arial" w:cs="Arial"/>
        </w:rPr>
        <w:t xml:space="preserve">W 2010 roku wyniosła </w:t>
      </w:r>
      <w:r w:rsidR="00DD1C09">
        <w:rPr>
          <w:rFonts w:ascii="Arial" w:hAnsi="Arial" w:cs="Arial"/>
        </w:rPr>
        <w:t xml:space="preserve">3,0 mln zł, a w 2014 r. 4,8 mln zł. </w:t>
      </w:r>
      <w:r w:rsidR="00B01FDB">
        <w:rPr>
          <w:rFonts w:ascii="Arial" w:hAnsi="Arial" w:cs="Arial"/>
        </w:rPr>
        <w:t xml:space="preserve">Średnia wypłacona kwota w jednej sprawie w 2014 roku wyniosła 2,8 tys. </w:t>
      </w:r>
      <w:r w:rsidR="00BE7381">
        <w:rPr>
          <w:rFonts w:ascii="Arial" w:hAnsi="Arial" w:cs="Arial"/>
        </w:rPr>
        <w:t xml:space="preserve">zł – mniej </w:t>
      </w:r>
      <w:r w:rsidR="00B01FDB">
        <w:rPr>
          <w:rFonts w:ascii="Arial" w:hAnsi="Arial" w:cs="Arial"/>
        </w:rPr>
        <w:t xml:space="preserve">o 0,2 tys. zł </w:t>
      </w:r>
      <w:r w:rsidR="00E00CCD">
        <w:rPr>
          <w:rFonts w:ascii="Arial" w:hAnsi="Arial" w:cs="Arial"/>
        </w:rPr>
        <w:t>niż w roku poprzednim i mniej o 0,4 mln zł niż w roku 2010.</w:t>
      </w:r>
    </w:p>
    <w:p w:rsidR="00211CB1" w:rsidRDefault="00211CB1">
      <w:pPr>
        <w:jc w:val="center"/>
        <w:rPr>
          <w:rFonts w:ascii="Arial" w:hAnsi="Arial" w:cs="Arial"/>
          <w:b/>
          <w:sz w:val="24"/>
          <w:szCs w:val="24"/>
        </w:rPr>
      </w:pPr>
    </w:p>
    <w:p w:rsidR="003C288D" w:rsidRDefault="003C288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CB1FA74" wp14:editId="12E1F901">
            <wp:extent cx="5133976" cy="3690938"/>
            <wp:effectExtent l="0" t="0" r="9525" b="2413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3C288D" w:rsidRDefault="003C288D">
      <w:pPr>
        <w:jc w:val="center"/>
        <w:rPr>
          <w:rFonts w:ascii="Arial" w:hAnsi="Arial" w:cs="Arial"/>
          <w:b/>
          <w:sz w:val="24"/>
          <w:szCs w:val="24"/>
        </w:rPr>
      </w:pPr>
    </w:p>
    <w:p w:rsidR="000B55D2" w:rsidRDefault="000B55D2">
      <w:pPr>
        <w:jc w:val="center"/>
        <w:rPr>
          <w:rFonts w:ascii="Arial" w:hAnsi="Arial" w:cs="Arial"/>
          <w:b/>
          <w:sz w:val="24"/>
          <w:szCs w:val="24"/>
        </w:rPr>
      </w:pPr>
    </w:p>
    <w:p w:rsidR="000B55D2" w:rsidRDefault="000B55D2">
      <w:pPr>
        <w:jc w:val="center"/>
        <w:rPr>
          <w:rFonts w:ascii="Arial" w:hAnsi="Arial" w:cs="Arial"/>
          <w:b/>
          <w:sz w:val="24"/>
          <w:szCs w:val="24"/>
        </w:rPr>
      </w:pPr>
    </w:p>
    <w:p w:rsidR="003C288D" w:rsidRPr="000B55D2" w:rsidRDefault="000B55D2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0B55D2">
        <w:rPr>
          <w:rFonts w:ascii="Arial" w:hAnsi="Arial" w:cs="Arial"/>
          <w:sz w:val="20"/>
          <w:szCs w:val="20"/>
        </w:rPr>
        <w:t>pracowanie:</w:t>
      </w:r>
    </w:p>
    <w:p w:rsidR="000B55D2" w:rsidRPr="000B55D2" w:rsidRDefault="000B55D2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55D2">
        <w:rPr>
          <w:rFonts w:ascii="Arial" w:hAnsi="Arial" w:cs="Arial"/>
          <w:sz w:val="20"/>
          <w:szCs w:val="20"/>
        </w:rPr>
        <w:t>Robert Bieługa</w:t>
      </w:r>
    </w:p>
    <w:p w:rsidR="000B55D2" w:rsidRPr="000B55D2" w:rsidRDefault="000B55D2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0B55D2">
        <w:rPr>
          <w:rFonts w:ascii="Arial" w:hAnsi="Arial" w:cs="Arial"/>
          <w:sz w:val="20"/>
          <w:szCs w:val="20"/>
        </w:rPr>
        <w:t>łówny specjalista</w:t>
      </w:r>
    </w:p>
    <w:p w:rsidR="000B55D2" w:rsidRDefault="000B55D2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B31" w:rsidRDefault="005C5B31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B31" w:rsidRDefault="005C5B31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B31" w:rsidRDefault="005C5B31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B55D2" w:rsidRDefault="000B55D2" w:rsidP="000B55D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B31" w:rsidRDefault="005C5B31" w:rsidP="005C5B31">
      <w:pPr>
        <w:spacing w:after="0" w:line="240" w:lineRule="auto"/>
        <w:ind w:left="4248"/>
        <w:jc w:val="center"/>
        <w:rPr>
          <w:rFonts w:ascii="Arial Narrow" w:hAnsi="Arial Narrow" w:cs="Arial"/>
        </w:rPr>
      </w:pPr>
      <w:r w:rsidRPr="005C5B31">
        <w:rPr>
          <w:rFonts w:ascii="Arial Narrow" w:hAnsi="Arial Narrow" w:cs="Arial"/>
        </w:rPr>
        <w:t>NACZELNIK</w:t>
      </w:r>
      <w:r>
        <w:rPr>
          <w:rFonts w:ascii="Arial Narrow" w:hAnsi="Arial Narrow" w:cs="Arial"/>
        </w:rPr>
        <w:t xml:space="preserve"> </w:t>
      </w:r>
      <w:r w:rsidRPr="005C5B31">
        <w:rPr>
          <w:rFonts w:ascii="Arial Narrow" w:hAnsi="Arial Narrow" w:cs="Arial"/>
        </w:rPr>
        <w:t xml:space="preserve"> WYDZIALU</w:t>
      </w:r>
    </w:p>
    <w:p w:rsidR="000B55D2" w:rsidRPr="005C5B31" w:rsidRDefault="005C5B31" w:rsidP="005C5B31">
      <w:pPr>
        <w:spacing w:after="0" w:line="240" w:lineRule="auto"/>
        <w:ind w:left="4248"/>
        <w:jc w:val="center"/>
        <w:rPr>
          <w:rFonts w:ascii="Arial Narrow" w:hAnsi="Arial Narrow" w:cs="Arial"/>
        </w:rPr>
      </w:pPr>
      <w:r w:rsidRPr="005C5B31">
        <w:rPr>
          <w:rFonts w:ascii="Arial Narrow" w:hAnsi="Arial Narrow" w:cs="Arial"/>
        </w:rPr>
        <w:t>STATYSTYCZNEJ</w:t>
      </w:r>
      <w:r>
        <w:rPr>
          <w:rFonts w:ascii="Arial Narrow" w:hAnsi="Arial Narrow" w:cs="Arial"/>
        </w:rPr>
        <w:t xml:space="preserve"> </w:t>
      </w:r>
      <w:r w:rsidRPr="005C5B31">
        <w:rPr>
          <w:rFonts w:ascii="Arial Narrow" w:hAnsi="Arial Narrow" w:cs="Arial"/>
        </w:rPr>
        <w:t xml:space="preserve"> INFORMACJI </w:t>
      </w:r>
      <w:r>
        <w:rPr>
          <w:rFonts w:ascii="Arial Narrow" w:hAnsi="Arial Narrow" w:cs="Arial"/>
        </w:rPr>
        <w:t xml:space="preserve"> </w:t>
      </w:r>
      <w:r w:rsidRPr="005C5B31">
        <w:rPr>
          <w:rFonts w:ascii="Arial Narrow" w:hAnsi="Arial Narrow" w:cs="Arial"/>
        </w:rPr>
        <w:t>ZARZĄDCZEJ</w:t>
      </w:r>
    </w:p>
    <w:p w:rsidR="005C5B31" w:rsidRPr="005C5B31" w:rsidRDefault="005C5B31" w:rsidP="005C5B31">
      <w:pPr>
        <w:spacing w:after="0" w:line="240" w:lineRule="auto"/>
        <w:ind w:left="4248"/>
        <w:jc w:val="center"/>
        <w:rPr>
          <w:rFonts w:ascii="Arial" w:hAnsi="Arial" w:cs="Arial"/>
          <w:i/>
        </w:rPr>
      </w:pPr>
      <w:r w:rsidRPr="005C5B31">
        <w:rPr>
          <w:rFonts w:ascii="Arial" w:hAnsi="Arial" w:cs="Arial"/>
          <w:i/>
        </w:rPr>
        <w:t>/-/ Justyna Kowalczyk</w:t>
      </w:r>
    </w:p>
    <w:sectPr w:rsidR="005C5B31" w:rsidRPr="005C5B31" w:rsidSect="002A092B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048" w:rsidRDefault="00310048" w:rsidP="002A092B">
      <w:pPr>
        <w:spacing w:after="0" w:line="240" w:lineRule="auto"/>
      </w:pPr>
      <w:r>
        <w:separator/>
      </w:r>
    </w:p>
  </w:endnote>
  <w:endnote w:type="continuationSeparator" w:id="0">
    <w:p w:rsidR="00310048" w:rsidRDefault="00310048" w:rsidP="002A0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4224492"/>
      <w:docPartObj>
        <w:docPartGallery w:val="Page Numbers (Bottom of Page)"/>
        <w:docPartUnique/>
      </w:docPartObj>
    </w:sdtPr>
    <w:sdtContent>
      <w:p w:rsidR="00310048" w:rsidRDefault="0031004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168">
          <w:rPr>
            <w:noProof/>
          </w:rPr>
          <w:t>13</w:t>
        </w:r>
        <w:r>
          <w:fldChar w:fldCharType="end"/>
        </w:r>
      </w:p>
    </w:sdtContent>
  </w:sdt>
  <w:p w:rsidR="00310048" w:rsidRDefault="003100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048" w:rsidRDefault="00310048" w:rsidP="002A092B">
      <w:pPr>
        <w:spacing w:after="0" w:line="240" w:lineRule="auto"/>
      </w:pPr>
      <w:r>
        <w:separator/>
      </w:r>
    </w:p>
  </w:footnote>
  <w:footnote w:type="continuationSeparator" w:id="0">
    <w:p w:rsidR="00310048" w:rsidRDefault="00310048" w:rsidP="002A0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D4999"/>
    <w:multiLevelType w:val="hybridMultilevel"/>
    <w:tmpl w:val="D8DADEAC"/>
    <w:lvl w:ilvl="0" w:tplc="9A96FCD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5338E1A8">
      <w:start w:val="1"/>
      <w:numFmt w:val="ordin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71FF9"/>
    <w:multiLevelType w:val="multilevel"/>
    <w:tmpl w:val="6654FEB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A0954"/>
    <w:multiLevelType w:val="hybridMultilevel"/>
    <w:tmpl w:val="37229F8C"/>
    <w:lvl w:ilvl="0" w:tplc="1B828CE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E720C"/>
    <w:multiLevelType w:val="hybridMultilevel"/>
    <w:tmpl w:val="0C568938"/>
    <w:lvl w:ilvl="0" w:tplc="1B828CE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A5310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5">
    <w:nsid w:val="4F024B14"/>
    <w:multiLevelType w:val="hybridMultilevel"/>
    <w:tmpl w:val="49E09DDA"/>
    <w:lvl w:ilvl="0" w:tplc="1B828CE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382"/>
    <w:rsid w:val="000034AC"/>
    <w:rsid w:val="00012BFB"/>
    <w:rsid w:val="000160AF"/>
    <w:rsid w:val="000279F1"/>
    <w:rsid w:val="00035A53"/>
    <w:rsid w:val="000608E1"/>
    <w:rsid w:val="0006425F"/>
    <w:rsid w:val="00083204"/>
    <w:rsid w:val="00096F0E"/>
    <w:rsid w:val="000B28F2"/>
    <w:rsid w:val="000B55D2"/>
    <w:rsid w:val="000D0BF3"/>
    <w:rsid w:val="00114353"/>
    <w:rsid w:val="001673EB"/>
    <w:rsid w:val="00171EF5"/>
    <w:rsid w:val="001815B5"/>
    <w:rsid w:val="001A292D"/>
    <w:rsid w:val="001B76E3"/>
    <w:rsid w:val="001B7F13"/>
    <w:rsid w:val="001C7C08"/>
    <w:rsid w:val="001D527C"/>
    <w:rsid w:val="001F64FE"/>
    <w:rsid w:val="0020651A"/>
    <w:rsid w:val="00211CB1"/>
    <w:rsid w:val="00213178"/>
    <w:rsid w:val="0022700C"/>
    <w:rsid w:val="00233F50"/>
    <w:rsid w:val="00233FC4"/>
    <w:rsid w:val="0026103C"/>
    <w:rsid w:val="00261CB4"/>
    <w:rsid w:val="002A092B"/>
    <w:rsid w:val="002B27A0"/>
    <w:rsid w:val="002C45A1"/>
    <w:rsid w:val="002E7025"/>
    <w:rsid w:val="00310048"/>
    <w:rsid w:val="00314385"/>
    <w:rsid w:val="003175EB"/>
    <w:rsid w:val="00320188"/>
    <w:rsid w:val="00342100"/>
    <w:rsid w:val="00343B30"/>
    <w:rsid w:val="00383768"/>
    <w:rsid w:val="00397C7E"/>
    <w:rsid w:val="003B2B80"/>
    <w:rsid w:val="003C288D"/>
    <w:rsid w:val="003C3528"/>
    <w:rsid w:val="003D4AE2"/>
    <w:rsid w:val="003F5560"/>
    <w:rsid w:val="00404465"/>
    <w:rsid w:val="0040578C"/>
    <w:rsid w:val="00425382"/>
    <w:rsid w:val="00485E74"/>
    <w:rsid w:val="004E122B"/>
    <w:rsid w:val="00514933"/>
    <w:rsid w:val="00524995"/>
    <w:rsid w:val="0053301F"/>
    <w:rsid w:val="00533FFB"/>
    <w:rsid w:val="0054262A"/>
    <w:rsid w:val="00560996"/>
    <w:rsid w:val="00572210"/>
    <w:rsid w:val="005C5B31"/>
    <w:rsid w:val="005E284B"/>
    <w:rsid w:val="00643C9C"/>
    <w:rsid w:val="0068037C"/>
    <w:rsid w:val="00684D1B"/>
    <w:rsid w:val="006F535B"/>
    <w:rsid w:val="00700ED9"/>
    <w:rsid w:val="007016F0"/>
    <w:rsid w:val="00705CFC"/>
    <w:rsid w:val="00740F92"/>
    <w:rsid w:val="007430C6"/>
    <w:rsid w:val="0078577B"/>
    <w:rsid w:val="007A4580"/>
    <w:rsid w:val="007B2880"/>
    <w:rsid w:val="007C2741"/>
    <w:rsid w:val="007D1F4E"/>
    <w:rsid w:val="007D5708"/>
    <w:rsid w:val="007F6FDA"/>
    <w:rsid w:val="007F7DD8"/>
    <w:rsid w:val="00823DCD"/>
    <w:rsid w:val="008513B5"/>
    <w:rsid w:val="00872D86"/>
    <w:rsid w:val="0089131A"/>
    <w:rsid w:val="008B142E"/>
    <w:rsid w:val="008B42FF"/>
    <w:rsid w:val="008E09AF"/>
    <w:rsid w:val="008E1B02"/>
    <w:rsid w:val="008E3278"/>
    <w:rsid w:val="009125E5"/>
    <w:rsid w:val="00952BA0"/>
    <w:rsid w:val="0097568B"/>
    <w:rsid w:val="00977091"/>
    <w:rsid w:val="009847C0"/>
    <w:rsid w:val="009A4EBE"/>
    <w:rsid w:val="009E2235"/>
    <w:rsid w:val="009E2A9B"/>
    <w:rsid w:val="009E7DBF"/>
    <w:rsid w:val="00A361F6"/>
    <w:rsid w:val="00A93C54"/>
    <w:rsid w:val="00A96429"/>
    <w:rsid w:val="00AA0D26"/>
    <w:rsid w:val="00AD1ADC"/>
    <w:rsid w:val="00AF45B0"/>
    <w:rsid w:val="00B01FDB"/>
    <w:rsid w:val="00B05BF8"/>
    <w:rsid w:val="00B34072"/>
    <w:rsid w:val="00B4357B"/>
    <w:rsid w:val="00B81CF3"/>
    <w:rsid w:val="00B964B4"/>
    <w:rsid w:val="00BB2330"/>
    <w:rsid w:val="00BC7A2E"/>
    <w:rsid w:val="00BE6B08"/>
    <w:rsid w:val="00BE7381"/>
    <w:rsid w:val="00BF37C9"/>
    <w:rsid w:val="00BF4466"/>
    <w:rsid w:val="00C07E2B"/>
    <w:rsid w:val="00C320B1"/>
    <w:rsid w:val="00C76F3E"/>
    <w:rsid w:val="00C92168"/>
    <w:rsid w:val="00C965CF"/>
    <w:rsid w:val="00CD35AB"/>
    <w:rsid w:val="00D20DFD"/>
    <w:rsid w:val="00D32063"/>
    <w:rsid w:val="00D41FBF"/>
    <w:rsid w:val="00D520C6"/>
    <w:rsid w:val="00D72543"/>
    <w:rsid w:val="00D735FB"/>
    <w:rsid w:val="00D742AA"/>
    <w:rsid w:val="00D80DFC"/>
    <w:rsid w:val="00D951D2"/>
    <w:rsid w:val="00DC5779"/>
    <w:rsid w:val="00DD1C09"/>
    <w:rsid w:val="00DD5C25"/>
    <w:rsid w:val="00DF6385"/>
    <w:rsid w:val="00E00CCD"/>
    <w:rsid w:val="00E12820"/>
    <w:rsid w:val="00E47A16"/>
    <w:rsid w:val="00E60677"/>
    <w:rsid w:val="00E626B7"/>
    <w:rsid w:val="00EB6599"/>
    <w:rsid w:val="00EC43BE"/>
    <w:rsid w:val="00F0073A"/>
    <w:rsid w:val="00F256A2"/>
    <w:rsid w:val="00F52863"/>
    <w:rsid w:val="00F56B65"/>
    <w:rsid w:val="00FA137C"/>
    <w:rsid w:val="00FA6C67"/>
    <w:rsid w:val="00FB2C69"/>
    <w:rsid w:val="00FE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31A"/>
  </w:style>
  <w:style w:type="paragraph" w:styleId="Nagwek1">
    <w:name w:val="heading 1"/>
    <w:basedOn w:val="Normalny"/>
    <w:link w:val="Nagwek1Znak"/>
    <w:uiPriority w:val="9"/>
    <w:qFormat/>
    <w:rsid w:val="003C3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3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76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2D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0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92B"/>
  </w:style>
  <w:style w:type="paragraph" w:styleId="Stopka">
    <w:name w:val="footer"/>
    <w:basedOn w:val="Normalny"/>
    <w:link w:val="StopkaZnak"/>
    <w:uiPriority w:val="99"/>
    <w:unhideWhenUsed/>
    <w:rsid w:val="002A0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92B"/>
  </w:style>
  <w:style w:type="character" w:customStyle="1" w:styleId="Nagwek1Znak">
    <w:name w:val="Nagłówek 1 Znak"/>
    <w:basedOn w:val="Domylnaczcionkaakapitu"/>
    <w:link w:val="Nagwek1"/>
    <w:uiPriority w:val="9"/>
    <w:rsid w:val="003C352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31A"/>
  </w:style>
  <w:style w:type="paragraph" w:styleId="Nagwek1">
    <w:name w:val="heading 1"/>
    <w:basedOn w:val="Normalny"/>
    <w:link w:val="Nagwek1Znak"/>
    <w:uiPriority w:val="9"/>
    <w:qFormat/>
    <w:rsid w:val="003C3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83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76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2D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0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92B"/>
  </w:style>
  <w:style w:type="paragraph" w:styleId="Stopka">
    <w:name w:val="footer"/>
    <w:basedOn w:val="Normalny"/>
    <w:link w:val="StopkaZnak"/>
    <w:uiPriority w:val="99"/>
    <w:unhideWhenUsed/>
    <w:rsid w:val="002A0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92B"/>
  </w:style>
  <w:style w:type="character" w:customStyle="1" w:styleId="Nagwek1Znak">
    <w:name w:val="Nagłówek 1 Znak"/>
    <w:basedOn w:val="Domylnaczcionkaakapitu"/>
    <w:link w:val="Nagwek1"/>
    <w:uiPriority w:val="9"/>
    <w:rsid w:val="003C352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0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4.xml"/><Relationship Id="rId18" Type="http://schemas.openxmlformats.org/officeDocument/2006/relationships/chart" Target="charts/chart9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sip.legalis.pl/document-view.seam?documentId=mfrxilrvguytgnjzheza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chart" Target="charts/chart8.xml"/><Relationship Id="rId25" Type="http://schemas.openxmlformats.org/officeDocument/2006/relationships/chart" Target="charts/chart15.xml"/><Relationship Id="rId2" Type="http://schemas.openxmlformats.org/officeDocument/2006/relationships/numbering" Target="numbering.xml"/><Relationship Id="rId16" Type="http://schemas.openxmlformats.org/officeDocument/2006/relationships/chart" Target="charts/chart7.xml"/><Relationship Id="rId20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chart" Target="charts/chart14.xml"/><Relationship Id="rId5" Type="http://schemas.openxmlformats.org/officeDocument/2006/relationships/settings" Target="settings.xml"/><Relationship Id="rId15" Type="http://schemas.openxmlformats.org/officeDocument/2006/relationships/chart" Target="charts/chart6.xml"/><Relationship Id="rId23" Type="http://schemas.openxmlformats.org/officeDocument/2006/relationships/chart" Target="charts/chart13.xml"/><Relationship Id="rId10" Type="http://schemas.openxmlformats.org/officeDocument/2006/relationships/chart" Target="charts/chart1.xml"/><Relationship Id="rId19" Type="http://schemas.openxmlformats.org/officeDocument/2006/relationships/chart" Target="charts/chart10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hart" Target="charts/chart5.xml"/><Relationship Id="rId22" Type="http://schemas.openxmlformats.org/officeDocument/2006/relationships/chart" Target="charts/chart12.xm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\\swaap01\statystyka\WS_2015\DSF%20od%2001.02.2015%20r\0811\0811_1_2015%20ROBOCZE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1. Ewidencja spraw w sądach powszechnych w latach 2010 - 2014 </a:t>
            </a:r>
          </a:p>
        </c:rich>
      </c:tx>
      <c:layout>
        <c:manualLayout>
          <c:xMode val="edge"/>
          <c:yMode val="edge"/>
          <c:x val="0.25231981296455591"/>
          <c:y val="4.0686607464801737E-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6391069072504913"/>
          <c:y val="0.10175514269431581"/>
          <c:w val="0.79369411830194747"/>
          <c:h val="0.696005802391279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chemeClr val="accent1">
                <a:lumMod val="50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ewidencja!$B$3:$F$3</c:f>
              <c:numCache>
                <c:formatCode>#,##0</c:formatCode>
                <c:ptCount val="5"/>
                <c:pt idx="0">
                  <c:v>12934771</c:v>
                </c:pt>
                <c:pt idx="1">
                  <c:v>13584064</c:v>
                </c:pt>
                <c:pt idx="2">
                  <c:v>14040616</c:v>
                </c:pt>
                <c:pt idx="3">
                  <c:v>15169808</c:v>
                </c:pt>
                <c:pt idx="4">
                  <c:v>14553725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ewidencja!$B$11:$F$11</c:f>
              <c:numCache>
                <c:formatCode>#,##0</c:formatCode>
                <c:ptCount val="5"/>
                <c:pt idx="0">
                  <c:v>12791322</c:v>
                </c:pt>
                <c:pt idx="1">
                  <c:v>13385551</c:v>
                </c:pt>
                <c:pt idx="2">
                  <c:v>14105063</c:v>
                </c:pt>
                <c:pt idx="3">
                  <c:v>14575830</c:v>
                </c:pt>
                <c:pt idx="4">
                  <c:v>14754469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ewidencja!$B$19:$F$19</c:f>
              <c:numCache>
                <c:formatCode>#,##0</c:formatCode>
                <c:ptCount val="5"/>
                <c:pt idx="0">
                  <c:v>1701162</c:v>
                </c:pt>
                <c:pt idx="1">
                  <c:v>1899729</c:v>
                </c:pt>
                <c:pt idx="2">
                  <c:v>1835894</c:v>
                </c:pt>
                <c:pt idx="3">
                  <c:v>2429936</c:v>
                </c:pt>
                <c:pt idx="4">
                  <c:v>2229227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8948864"/>
        <c:axId val="188950400"/>
      </c:barChart>
      <c:catAx>
        <c:axId val="188948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8950400"/>
        <c:crosses val="autoZero"/>
        <c:auto val="1"/>
        <c:lblAlgn val="ctr"/>
        <c:lblOffset val="100"/>
        <c:noMultiLvlLbl val="0"/>
      </c:catAx>
      <c:valAx>
        <c:axId val="18895040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4.4184517327636896E-2"/>
              <c:y val="0.37958195820800927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894886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2. Ewidencja spraw karnych w sądach powszechnych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w latach 2010 - 2014 </a:t>
            </a:r>
          </a:p>
        </c:rich>
      </c:tx>
      <c:layout>
        <c:manualLayout>
          <c:xMode val="edge"/>
          <c:yMode val="edge"/>
          <c:x val="0.30444043656554104"/>
          <c:y val="1.736111111111111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883943529462076"/>
          <c:y val="0.11957431102362204"/>
          <c:w val="0.78445018201645367"/>
          <c:h val="0.671242071303587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ewidencja!$B$5:$F$5</c:f>
              <c:numCache>
                <c:formatCode>#,##0</c:formatCode>
                <c:ptCount val="5"/>
                <c:pt idx="0">
                  <c:v>2718121</c:v>
                </c:pt>
                <c:pt idx="1">
                  <c:v>2598628</c:v>
                </c:pt>
                <c:pt idx="2">
                  <c:v>2649609</c:v>
                </c:pt>
                <c:pt idx="3">
                  <c:v>2806186</c:v>
                </c:pt>
                <c:pt idx="4">
                  <c:v>2793577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rgbClr val="FF6565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ewidencja!$B$13:$F$13</c:f>
              <c:numCache>
                <c:formatCode>#,##0</c:formatCode>
                <c:ptCount val="5"/>
                <c:pt idx="0">
                  <c:v>2584532</c:v>
                </c:pt>
                <c:pt idx="1">
                  <c:v>2621187</c:v>
                </c:pt>
                <c:pt idx="2">
                  <c:v>2676184</c:v>
                </c:pt>
                <c:pt idx="3">
                  <c:v>2734134</c:v>
                </c:pt>
                <c:pt idx="4">
                  <c:v>2804233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rgbClr val="FFB7B7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ewidencja!$B$21:$F$21</c:f>
              <c:numCache>
                <c:formatCode>#,##0</c:formatCode>
                <c:ptCount val="5"/>
                <c:pt idx="0">
                  <c:v>428537</c:v>
                </c:pt>
                <c:pt idx="1">
                  <c:v>405955</c:v>
                </c:pt>
                <c:pt idx="2">
                  <c:v>379365</c:v>
                </c:pt>
                <c:pt idx="3">
                  <c:v>451385</c:v>
                </c:pt>
                <c:pt idx="4">
                  <c:v>440705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8974208"/>
        <c:axId val="188975744"/>
      </c:barChart>
      <c:catAx>
        <c:axId val="1889742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8975744"/>
        <c:crosses val="autoZero"/>
        <c:auto val="1"/>
        <c:lblAlgn val="ctr"/>
        <c:lblOffset val="100"/>
        <c:noMultiLvlLbl val="0"/>
      </c:catAx>
      <c:valAx>
        <c:axId val="18897574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5.9741997533771657E-2"/>
              <c:y val="0.40138621053569346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897420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3. Ewidencja spraw cywilnych w sądach powszechnych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w latach 2010 - 2014 </a:t>
            </a:r>
          </a:p>
        </c:rich>
      </c:tx>
      <c:layout>
        <c:manualLayout>
          <c:xMode val="edge"/>
          <c:yMode val="edge"/>
          <c:x val="0.17403937542430414"/>
          <c:y val="2.083333333333333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8031498915238378"/>
          <c:y val="0.12651875546806648"/>
          <c:w val="0.78445018201645367"/>
          <c:h val="0.671242071303587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ewidencja!$B$6:$F$6</c:f>
              <c:numCache>
                <c:formatCode>#,##0</c:formatCode>
                <c:ptCount val="5"/>
                <c:pt idx="0">
                  <c:v>7591387</c:v>
                </c:pt>
                <c:pt idx="1">
                  <c:v>8085791</c:v>
                </c:pt>
                <c:pt idx="2">
                  <c:v>8277470</c:v>
                </c:pt>
                <c:pt idx="3">
                  <c:v>9013781</c:v>
                </c:pt>
                <c:pt idx="4">
                  <c:v>8460422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rgbClr val="19FF81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ewidencja!$B$14:$F$14</c:f>
              <c:numCache>
                <c:formatCode>#,##0</c:formatCode>
                <c:ptCount val="5"/>
                <c:pt idx="0">
                  <c:v>7606355</c:v>
                </c:pt>
                <c:pt idx="1">
                  <c:v>7919920</c:v>
                </c:pt>
                <c:pt idx="2">
                  <c:v>8380921</c:v>
                </c:pt>
                <c:pt idx="3">
                  <c:v>8601032</c:v>
                </c:pt>
                <c:pt idx="4">
                  <c:v>8621741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rgbClr val="A3FFCD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ewidencja!$B$22:$F$22</c:f>
              <c:numCache>
                <c:formatCode>#,##0</c:formatCode>
                <c:ptCount val="5"/>
                <c:pt idx="0">
                  <c:v>915786</c:v>
                </c:pt>
                <c:pt idx="1">
                  <c:v>1081745</c:v>
                </c:pt>
                <c:pt idx="2">
                  <c:v>978822</c:v>
                </c:pt>
                <c:pt idx="3">
                  <c:v>1391697</c:v>
                </c:pt>
                <c:pt idx="4">
                  <c:v>1230447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273984"/>
        <c:axId val="189275520"/>
      </c:barChart>
      <c:catAx>
        <c:axId val="189273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275520"/>
        <c:crosses val="autoZero"/>
        <c:auto val="1"/>
        <c:lblAlgn val="ctr"/>
        <c:lblOffset val="100"/>
        <c:noMultiLvlLbl val="0"/>
      </c:catAx>
      <c:valAx>
        <c:axId val="1892755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5.9741997533771657E-2"/>
              <c:y val="0.40138621053569346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27398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4. Ewidencja spraw rodzinnych w sądach powszechnych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 w latach 2010 - 2014 </a:t>
            </a:r>
          </a:p>
        </c:rich>
      </c:tx>
      <c:layout>
        <c:manualLayout>
          <c:xMode val="edge"/>
          <c:yMode val="edge"/>
          <c:x val="0.2582213170400543"/>
          <c:y val="2.083333333333333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9925653896114309"/>
          <c:y val="0.14836801649793777"/>
          <c:w val="0.76815690299405037"/>
          <c:h val="0.635527746531683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rgbClr val="AB0D94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ewidencja!$B$7:$F$7</c:f>
              <c:numCache>
                <c:formatCode>#,##0</c:formatCode>
                <c:ptCount val="5"/>
                <c:pt idx="0">
                  <c:v>1315246</c:v>
                </c:pt>
                <c:pt idx="1">
                  <c:v>1321993</c:v>
                </c:pt>
                <c:pt idx="2">
                  <c:v>1347716</c:v>
                </c:pt>
                <c:pt idx="3">
                  <c:v>1406613</c:v>
                </c:pt>
                <c:pt idx="4">
                  <c:v>1396338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rgbClr val="F250DB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ewidencja!$B$15:$F$15</c:f>
              <c:numCache>
                <c:formatCode>#,##0</c:formatCode>
                <c:ptCount val="5"/>
                <c:pt idx="0">
                  <c:v>1316197</c:v>
                </c:pt>
                <c:pt idx="1">
                  <c:v>1310464</c:v>
                </c:pt>
                <c:pt idx="2">
                  <c:v>1352547</c:v>
                </c:pt>
                <c:pt idx="3">
                  <c:v>1377804</c:v>
                </c:pt>
                <c:pt idx="4">
                  <c:v>1408501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rgbClr val="FBCDF4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ewidencja!$B$23:$F$23</c:f>
              <c:numCache>
                <c:formatCode>#,##0</c:formatCode>
                <c:ptCount val="5"/>
                <c:pt idx="0">
                  <c:v>154711</c:v>
                </c:pt>
                <c:pt idx="1">
                  <c:v>166241</c:v>
                </c:pt>
                <c:pt idx="2">
                  <c:v>161432</c:v>
                </c:pt>
                <c:pt idx="3">
                  <c:v>190180</c:v>
                </c:pt>
                <c:pt idx="4">
                  <c:v>178017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303424"/>
        <c:axId val="189313408"/>
      </c:barChart>
      <c:catAx>
        <c:axId val="1893034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313408"/>
        <c:crosses val="autoZero"/>
        <c:auto val="1"/>
        <c:lblAlgn val="ctr"/>
        <c:lblOffset val="100"/>
        <c:noMultiLvlLbl val="0"/>
      </c:catAx>
      <c:valAx>
        <c:axId val="18931340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5.9741997533771657E-2"/>
              <c:y val="0.40138621053569346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30342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5. Ewidencja spraw prawa pracy w sądach powszechnych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 w latach 2010 - 2014 </a:t>
            </a:r>
          </a:p>
        </c:rich>
      </c:tx>
      <c:layout>
        <c:manualLayout>
          <c:xMode val="edge"/>
          <c:yMode val="edge"/>
          <c:x val="0.2582213170400543"/>
          <c:y val="2.083333333333333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9925653896114309"/>
          <c:y val="0.14836801649793777"/>
          <c:w val="0.76815690299405037"/>
          <c:h val="0.635527746531683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rgbClr val="1508BC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ewidencja!$B$8:$F$8</c:f>
              <c:numCache>
                <c:formatCode>#,##0</c:formatCode>
                <c:ptCount val="5"/>
                <c:pt idx="0">
                  <c:v>110589</c:v>
                </c:pt>
                <c:pt idx="1">
                  <c:v>111560</c:v>
                </c:pt>
                <c:pt idx="2">
                  <c:v>120402</c:v>
                </c:pt>
                <c:pt idx="3">
                  <c:v>120021</c:v>
                </c:pt>
                <c:pt idx="4">
                  <c:v>156572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rgbClr val="5B4FF7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ewidencja!$B$16:$F$16</c:f>
              <c:numCache>
                <c:formatCode>#,##0</c:formatCode>
                <c:ptCount val="5"/>
                <c:pt idx="0">
                  <c:v>112100</c:v>
                </c:pt>
                <c:pt idx="1">
                  <c:v>109586</c:v>
                </c:pt>
                <c:pt idx="2">
                  <c:v>111865</c:v>
                </c:pt>
                <c:pt idx="3">
                  <c:v>119131</c:v>
                </c:pt>
                <c:pt idx="4">
                  <c:v>141000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rgbClr val="BFBAFC"/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ewidencja!$B$24:$F$24</c:f>
              <c:numCache>
                <c:formatCode>#,##0</c:formatCode>
                <c:ptCount val="5"/>
                <c:pt idx="0">
                  <c:v>32092</c:v>
                </c:pt>
                <c:pt idx="1">
                  <c:v>34066</c:v>
                </c:pt>
                <c:pt idx="2">
                  <c:v>42599</c:v>
                </c:pt>
                <c:pt idx="3">
                  <c:v>43489</c:v>
                </c:pt>
                <c:pt idx="4">
                  <c:v>59061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025664"/>
        <c:axId val="189031552"/>
      </c:barChart>
      <c:catAx>
        <c:axId val="1890256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031552"/>
        <c:crosses val="autoZero"/>
        <c:auto val="1"/>
        <c:lblAlgn val="ctr"/>
        <c:lblOffset val="100"/>
        <c:noMultiLvlLbl val="0"/>
      </c:catAx>
      <c:valAx>
        <c:axId val="18903155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5.9741997533771657E-2"/>
              <c:y val="0.40138621053569346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02566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6. Ewidencja spraw ubezpieczeń społecznych w sądach powszechnych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 w latach 2010 - 2014 </a:t>
            </a:r>
          </a:p>
        </c:rich>
      </c:tx>
      <c:layout>
        <c:manualLayout>
          <c:xMode val="edge"/>
          <c:yMode val="edge"/>
          <c:x val="0.2582213170400543"/>
          <c:y val="2.083333333333333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9925653896114309"/>
          <c:y val="0.14836801649793777"/>
          <c:w val="0.76815690299405037"/>
          <c:h val="0.635527746531683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ewidencja!$B$9:$F$9</c:f>
              <c:numCache>
                <c:formatCode>#,##0</c:formatCode>
                <c:ptCount val="5"/>
                <c:pt idx="0">
                  <c:v>173613</c:v>
                </c:pt>
                <c:pt idx="1">
                  <c:v>170768</c:v>
                </c:pt>
                <c:pt idx="2">
                  <c:v>200822</c:v>
                </c:pt>
                <c:pt idx="3">
                  <c:v>228844</c:v>
                </c:pt>
                <c:pt idx="4">
                  <c:v>213016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ewidencja!$B$17:$F$17</c:f>
              <c:numCache>
                <c:formatCode>#,##0</c:formatCode>
                <c:ptCount val="5"/>
                <c:pt idx="0">
                  <c:v>161007</c:v>
                </c:pt>
                <c:pt idx="1">
                  <c:v>173959</c:v>
                </c:pt>
                <c:pt idx="2">
                  <c:v>185437</c:v>
                </c:pt>
                <c:pt idx="3">
                  <c:v>204891</c:v>
                </c:pt>
                <c:pt idx="4">
                  <c:v>203886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ewidencja!$B$25:$F$25</c:f>
              <c:numCache>
                <c:formatCode>#,##0</c:formatCode>
                <c:ptCount val="5"/>
                <c:pt idx="0">
                  <c:v>78527</c:v>
                </c:pt>
                <c:pt idx="1">
                  <c:v>75337</c:v>
                </c:pt>
                <c:pt idx="2">
                  <c:v>90780</c:v>
                </c:pt>
                <c:pt idx="3">
                  <c:v>114734</c:v>
                </c:pt>
                <c:pt idx="4">
                  <c:v>123866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071744"/>
        <c:axId val="189073280"/>
      </c:barChart>
      <c:catAx>
        <c:axId val="1890717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073280"/>
        <c:crosses val="autoZero"/>
        <c:auto val="1"/>
        <c:lblAlgn val="ctr"/>
        <c:lblOffset val="100"/>
        <c:noMultiLvlLbl val="0"/>
      </c:catAx>
      <c:valAx>
        <c:axId val="18907328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5.9741997533771657E-2"/>
              <c:y val="0.40138621053569346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07174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7. Ewidencja spraw gospodarczych</a:t>
            </a:r>
            <a:r>
              <a:rPr lang="pl-PL" sz="1000" baseline="0">
                <a:latin typeface="Arial Narrow" panose="020B0606020202030204" pitchFamily="34" charset="0"/>
              </a:rPr>
              <a:t> </a:t>
            </a:r>
            <a:r>
              <a:rPr lang="pl-PL" sz="1000">
                <a:latin typeface="Arial Narrow" panose="020B0606020202030204" pitchFamily="34" charset="0"/>
              </a:rPr>
              <a:t> w sądach powszechnych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 w latach 2010 - 2014 </a:t>
            </a:r>
          </a:p>
        </c:rich>
      </c:tx>
      <c:layout>
        <c:manualLayout>
          <c:xMode val="edge"/>
          <c:yMode val="edge"/>
          <c:x val="0.2582213170400543"/>
          <c:y val="2.083333333333333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9925653896114309"/>
          <c:y val="0.14836801649793777"/>
          <c:w val="0.76815690299405037"/>
          <c:h val="0.635527746531683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ewidencja!$B$10:$F$10</c:f>
              <c:numCache>
                <c:formatCode>#,##0</c:formatCode>
                <c:ptCount val="5"/>
                <c:pt idx="0">
                  <c:v>1025815</c:v>
                </c:pt>
                <c:pt idx="1">
                  <c:v>1295324</c:v>
                </c:pt>
                <c:pt idx="2">
                  <c:v>1444597</c:v>
                </c:pt>
                <c:pt idx="3">
                  <c:v>1594363</c:v>
                </c:pt>
                <c:pt idx="4">
                  <c:v>1533800</c:v>
                </c:pt>
              </c:numCache>
            </c:numRef>
          </c:val>
        </c:ser>
        <c:ser>
          <c:idx val="1"/>
          <c:order val="1"/>
          <c:tx>
            <c:strRef>
              <c:f>ewidencja!$A$11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ewidencja!$B$18:$F$18</c:f>
              <c:numCache>
                <c:formatCode>#,##0</c:formatCode>
                <c:ptCount val="5"/>
                <c:pt idx="0">
                  <c:v>1011131</c:v>
                </c:pt>
                <c:pt idx="1">
                  <c:v>1250435</c:v>
                </c:pt>
                <c:pt idx="2">
                  <c:v>1398109</c:v>
                </c:pt>
                <c:pt idx="3">
                  <c:v>1538838</c:v>
                </c:pt>
                <c:pt idx="4">
                  <c:v>1575108</c:v>
                </c:pt>
              </c:numCache>
            </c:numRef>
          </c:val>
        </c:ser>
        <c:ser>
          <c:idx val="2"/>
          <c:order val="2"/>
          <c:tx>
            <c:strRef>
              <c:f>ewidencja!$A$19</c:f>
              <c:strCache>
                <c:ptCount val="1"/>
                <c:pt idx="0">
                  <c:v>Pozostałość </c:v>
                </c:pt>
              </c:strCache>
            </c:strRef>
          </c:tx>
          <c:spPr>
            <a:solidFill>
              <a:schemeClr val="accent4">
                <a:lumMod val="20000"/>
                <a:lumOff val="80000"/>
              </a:schemeClr>
            </a:solidFill>
          </c:spPr>
          <c:invertIfNegative val="0"/>
          <c:cat>
            <c:numRef>
              <c:f>ewidencja!$B$2:$F$2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ewidencja!$B$26:$F$26</c:f>
              <c:numCache>
                <c:formatCode>#,##0</c:formatCode>
                <c:ptCount val="5"/>
                <c:pt idx="0">
                  <c:v>91509</c:v>
                </c:pt>
                <c:pt idx="1">
                  <c:v>136385</c:v>
                </c:pt>
                <c:pt idx="2">
                  <c:v>182896</c:v>
                </c:pt>
                <c:pt idx="3">
                  <c:v>238451</c:v>
                </c:pt>
                <c:pt idx="4">
                  <c:v>197131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101184"/>
        <c:axId val="189102720"/>
      </c:barChart>
      <c:catAx>
        <c:axId val="189101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102720"/>
        <c:crosses val="autoZero"/>
        <c:auto val="1"/>
        <c:lblAlgn val="ctr"/>
        <c:lblOffset val="100"/>
        <c:noMultiLvlLbl val="0"/>
      </c:catAx>
      <c:valAx>
        <c:axId val="1891027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mln)</a:t>
                </a:r>
              </a:p>
            </c:rich>
          </c:tx>
          <c:layout>
            <c:manualLayout>
              <c:xMode val="edge"/>
              <c:yMode val="edge"/>
              <c:x val="5.9741997533771657E-2"/>
              <c:y val="0.40138621053569346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10118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8.</a:t>
            </a:r>
            <a:r>
              <a:rPr lang="pl-PL" sz="1000" baseline="0">
                <a:latin typeface="Arial Narrow" panose="020B0606020202030204" pitchFamily="34" charset="0"/>
              </a:rPr>
              <a:t> </a:t>
            </a:r>
            <a:r>
              <a:rPr lang="pl-PL" sz="1000">
                <a:latin typeface="Arial Narrow" panose="020B0606020202030204" pitchFamily="34" charset="0"/>
              </a:rPr>
              <a:t>Ewidencja spraw w sądach apelacyjnych w latach 2010 - 2014 </a:t>
            </a:r>
          </a:p>
        </c:rich>
      </c:tx>
      <c:layout>
        <c:manualLayout>
          <c:xMode val="edge"/>
          <c:yMode val="edge"/>
          <c:x val="0.21073424301494478"/>
          <c:y val="2.1108148882964431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6391069072504913"/>
          <c:y val="0.1027137962894825"/>
          <c:w val="0.79369411830194747"/>
          <c:h val="0.6710836379097472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ewidencja!$A$32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ewidencja!$B$34:$F$34</c:f>
              <c:numCache>
                <c:formatCode>#,##0</c:formatCode>
                <c:ptCount val="5"/>
                <c:pt idx="0">
                  <c:v>87714</c:v>
                </c:pt>
                <c:pt idx="1">
                  <c:v>93797</c:v>
                </c:pt>
                <c:pt idx="2">
                  <c:v>104772</c:v>
                </c:pt>
                <c:pt idx="3">
                  <c:v>119202</c:v>
                </c:pt>
                <c:pt idx="4">
                  <c:v>116132</c:v>
                </c:pt>
              </c:numCache>
            </c:numRef>
          </c:val>
        </c:ser>
        <c:ser>
          <c:idx val="1"/>
          <c:order val="1"/>
          <c:tx>
            <c:strRef>
              <c:f>ewidencja!$A$37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ewidencja!$B$39:$F$39</c:f>
              <c:numCache>
                <c:formatCode>#,##0</c:formatCode>
                <c:ptCount val="5"/>
                <c:pt idx="0">
                  <c:v>87032</c:v>
                </c:pt>
                <c:pt idx="1">
                  <c:v>92138</c:v>
                </c:pt>
                <c:pt idx="2">
                  <c:v>99745</c:v>
                </c:pt>
                <c:pt idx="3">
                  <c:v>107532</c:v>
                </c:pt>
                <c:pt idx="4">
                  <c:v>115031</c:v>
                </c:pt>
              </c:numCache>
            </c:numRef>
          </c:val>
        </c:ser>
        <c:ser>
          <c:idx val="2"/>
          <c:order val="2"/>
          <c:tx>
            <c:strRef>
              <c:f>ewidencja!$A$42</c:f>
              <c:strCache>
                <c:ptCount val="1"/>
                <c:pt idx="0">
                  <c:v>Pozostałość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ewidencja!$B$44:$F$44</c:f>
              <c:numCache>
                <c:formatCode>#,##0</c:formatCode>
                <c:ptCount val="5"/>
                <c:pt idx="0">
                  <c:v>13794</c:v>
                </c:pt>
                <c:pt idx="1">
                  <c:v>15454</c:v>
                </c:pt>
                <c:pt idx="2">
                  <c:v>20480</c:v>
                </c:pt>
                <c:pt idx="3">
                  <c:v>32149</c:v>
                </c:pt>
                <c:pt idx="4">
                  <c:v>33250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131008"/>
        <c:axId val="189132800"/>
      </c:barChart>
      <c:catAx>
        <c:axId val="189131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132800"/>
        <c:crosses val="autoZero"/>
        <c:auto val="1"/>
        <c:lblAlgn val="ctr"/>
        <c:lblOffset val="100"/>
        <c:noMultiLvlLbl val="0"/>
      </c:catAx>
      <c:valAx>
        <c:axId val="18913280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tys.)</a:t>
                </a:r>
              </a:p>
            </c:rich>
          </c:tx>
          <c:layout>
            <c:manualLayout>
              <c:xMode val="edge"/>
              <c:yMode val="edge"/>
              <c:x val="4.4184517327636896E-2"/>
              <c:y val="0.37958195820800927"/>
            </c:manualLayout>
          </c:layout>
          <c:overlay val="0"/>
        </c:title>
        <c:numFmt formatCode="#,##0.0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13100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9. Ewidencja spraw w sądach okręgowych w latach 2010 - 2014 </a:t>
            </a:r>
          </a:p>
        </c:rich>
      </c:tx>
      <c:layout>
        <c:manualLayout>
          <c:xMode val="edge"/>
          <c:yMode val="edge"/>
          <c:x val="0.21333333333333335"/>
          <c:y val="2.1108148882964431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6391069072504913"/>
          <c:y val="0.10175514269431581"/>
          <c:w val="0.79369411830194747"/>
          <c:h val="0.696005802391279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ewidencja!$A$32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chemeClr val="accent4">
                <a:lumMod val="50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ewidencja!$B$35:$F$35</c:f>
              <c:numCache>
                <c:formatCode>#,##0</c:formatCode>
                <c:ptCount val="5"/>
                <c:pt idx="0">
                  <c:v>836566</c:v>
                </c:pt>
                <c:pt idx="1">
                  <c:v>843255</c:v>
                </c:pt>
                <c:pt idx="2">
                  <c:v>928318</c:v>
                </c:pt>
                <c:pt idx="3">
                  <c:v>997524</c:v>
                </c:pt>
                <c:pt idx="4">
                  <c:v>939704</c:v>
                </c:pt>
              </c:numCache>
            </c:numRef>
          </c:val>
        </c:ser>
        <c:ser>
          <c:idx val="1"/>
          <c:order val="1"/>
          <c:tx>
            <c:strRef>
              <c:f>ewidencja!$A$37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ewidencja!$B$40:$F$40</c:f>
              <c:numCache>
                <c:formatCode>#,##0</c:formatCode>
                <c:ptCount val="5"/>
                <c:pt idx="0">
                  <c:v>820286</c:v>
                </c:pt>
                <c:pt idx="1">
                  <c:v>841604</c:v>
                </c:pt>
                <c:pt idx="2">
                  <c:v>886019</c:v>
                </c:pt>
                <c:pt idx="3">
                  <c:v>955217</c:v>
                </c:pt>
                <c:pt idx="4">
                  <c:v>948946</c:v>
                </c:pt>
              </c:numCache>
            </c:numRef>
          </c:val>
        </c:ser>
        <c:ser>
          <c:idx val="2"/>
          <c:order val="2"/>
          <c:tx>
            <c:strRef>
              <c:f>ewidencja!$A$42</c:f>
              <c:strCache>
                <c:ptCount val="1"/>
                <c:pt idx="0">
                  <c:v>Pozostałość</c:v>
                </c:pt>
              </c:strCache>
            </c:strRef>
          </c:tx>
          <c:spPr>
            <a:solidFill>
              <a:schemeClr val="accent4">
                <a:lumMod val="40000"/>
                <a:lumOff val="60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ewidencja!$B$45:$F$45</c:f>
              <c:numCache>
                <c:formatCode>#,##0</c:formatCode>
                <c:ptCount val="5"/>
                <c:pt idx="0">
                  <c:v>209407</c:v>
                </c:pt>
                <c:pt idx="1">
                  <c:v>211059</c:v>
                </c:pt>
                <c:pt idx="2">
                  <c:v>253399</c:v>
                </c:pt>
                <c:pt idx="3">
                  <c:v>295718</c:v>
                </c:pt>
                <c:pt idx="4">
                  <c:v>286456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180928"/>
        <c:axId val="189182720"/>
      </c:barChart>
      <c:catAx>
        <c:axId val="189180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182720"/>
        <c:crosses val="autoZero"/>
        <c:auto val="1"/>
        <c:lblAlgn val="ctr"/>
        <c:lblOffset val="100"/>
        <c:noMultiLvlLbl val="0"/>
      </c:catAx>
      <c:valAx>
        <c:axId val="18918272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tys.)</a:t>
                </a:r>
              </a:p>
            </c:rich>
          </c:tx>
          <c:layout>
            <c:manualLayout>
              <c:xMode val="edge"/>
              <c:yMode val="edge"/>
              <c:x val="4.4184517327636896E-2"/>
              <c:y val="0.37958195820800927"/>
            </c:manualLayout>
          </c:layout>
          <c:overlay val="0"/>
        </c:title>
        <c:numFmt formatCode="#,##0.0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180928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/>
            </a:pPr>
            <a:r>
              <a:rPr lang="pl-PL" sz="1000">
                <a:latin typeface="Arial Narrow" panose="020B0606020202030204" pitchFamily="34" charset="0"/>
              </a:rPr>
              <a:t>Wykres 10. Ewidencja spraw w sądach rejonowych w latach 2010 - 2014 </a:t>
            </a:r>
          </a:p>
        </c:rich>
      </c:tx>
      <c:layout>
        <c:manualLayout>
          <c:xMode val="edge"/>
          <c:yMode val="edge"/>
          <c:x val="0.25231978948604955"/>
          <c:y val="2.110818526670829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6391069072504913"/>
          <c:y val="0.10175514269431581"/>
          <c:w val="0.79369411830194747"/>
          <c:h val="0.696005802391279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ewidencja!$A$32</c:f>
              <c:strCache>
                <c:ptCount val="1"/>
                <c:pt idx="0">
                  <c:v>Wpływ</c:v>
                </c:pt>
              </c:strCache>
            </c:strRef>
          </c:tx>
          <c:spPr>
            <a:solidFill>
              <a:schemeClr val="tx1">
                <a:lumMod val="75000"/>
                <a:lumOff val="25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ewidencja!$B$36:$F$36</c:f>
              <c:numCache>
                <c:formatCode>#,##0</c:formatCode>
                <c:ptCount val="5"/>
                <c:pt idx="0">
                  <c:v>12010491</c:v>
                </c:pt>
                <c:pt idx="1">
                  <c:v>12647012</c:v>
                </c:pt>
                <c:pt idx="2">
                  <c:v>13007526</c:v>
                </c:pt>
                <c:pt idx="3">
                  <c:v>14053082</c:v>
                </c:pt>
                <c:pt idx="4">
                  <c:v>13497889</c:v>
                </c:pt>
              </c:numCache>
            </c:numRef>
          </c:val>
        </c:ser>
        <c:ser>
          <c:idx val="1"/>
          <c:order val="1"/>
          <c:tx>
            <c:strRef>
              <c:f>ewidencja!$A$37</c:f>
              <c:strCache>
                <c:ptCount val="1"/>
                <c:pt idx="0">
                  <c:v>Załatwienie</c:v>
                </c:pt>
              </c:strCache>
            </c:strRef>
          </c:tx>
          <c:spPr>
            <a:solidFill>
              <a:schemeClr val="tx1">
                <a:lumMod val="50000"/>
                <a:lumOff val="50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ewidencja!$B$41:$F$41</c:f>
              <c:numCache>
                <c:formatCode>#,##0</c:formatCode>
                <c:ptCount val="5"/>
                <c:pt idx="0">
                  <c:v>11884004</c:v>
                </c:pt>
                <c:pt idx="1">
                  <c:v>12451809</c:v>
                </c:pt>
                <c:pt idx="2">
                  <c:v>13119299</c:v>
                </c:pt>
                <c:pt idx="3">
                  <c:v>13513081</c:v>
                </c:pt>
                <c:pt idx="4">
                  <c:v>13690492</c:v>
                </c:pt>
              </c:numCache>
            </c:numRef>
          </c:val>
        </c:ser>
        <c:ser>
          <c:idx val="2"/>
          <c:order val="2"/>
          <c:tx>
            <c:strRef>
              <c:f>ewidencja!$A$42</c:f>
              <c:strCache>
                <c:ptCount val="1"/>
                <c:pt idx="0">
                  <c:v>Pozostałość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</c:spPr>
          <c:invertIfNegative val="0"/>
          <c:cat>
            <c:numRef>
              <c:f>ewidencja!$B$31:$F$31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ewidencja!$B$46:$F$46</c:f>
              <c:numCache>
                <c:formatCode>#,##0</c:formatCode>
                <c:ptCount val="5"/>
                <c:pt idx="0">
                  <c:v>1477961</c:v>
                </c:pt>
                <c:pt idx="1">
                  <c:v>1673216</c:v>
                </c:pt>
                <c:pt idx="2">
                  <c:v>1562015</c:v>
                </c:pt>
                <c:pt idx="3">
                  <c:v>2102069</c:v>
                </c:pt>
                <c:pt idx="4">
                  <c:v>1909521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423616"/>
        <c:axId val="189425152"/>
      </c:barChart>
      <c:catAx>
        <c:axId val="1894236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425152"/>
        <c:crosses val="autoZero"/>
        <c:auto val="1"/>
        <c:lblAlgn val="ctr"/>
        <c:lblOffset val="100"/>
        <c:noMultiLvlLbl val="0"/>
      </c:catAx>
      <c:valAx>
        <c:axId val="18942515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mln.)</a:t>
                </a:r>
              </a:p>
            </c:rich>
          </c:tx>
          <c:layout>
            <c:manualLayout>
              <c:xMode val="edge"/>
              <c:yMode val="edge"/>
              <c:x val="4.4184517327636896E-2"/>
              <c:y val="0.37958195820800927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42361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Arial Narrow" panose="020B0606020202030204" pitchFamily="34" charset="0"/>
              </a:defRPr>
            </a:pPr>
            <a:r>
              <a:rPr lang="pl-PL" sz="1000">
                <a:latin typeface="Arial Narrow" panose="020B0606020202030204" pitchFamily="34" charset="0"/>
              </a:rPr>
              <a:t>Wykres 11. Średni czas postępowań</a:t>
            </a:r>
            <a:r>
              <a:rPr lang="pl-PL" sz="1000" baseline="0">
                <a:latin typeface="Arial Narrow" panose="020B0606020202030204" pitchFamily="34" charset="0"/>
              </a:rPr>
              <a:t> sądowych w I instancji </a:t>
            </a:r>
            <a:br>
              <a:rPr lang="pl-PL" sz="1000" baseline="0">
                <a:latin typeface="Arial Narrow" panose="020B0606020202030204" pitchFamily="34" charset="0"/>
              </a:rPr>
            </a:br>
            <a:r>
              <a:rPr lang="pl-PL" sz="1000" baseline="0">
                <a:latin typeface="Arial Narrow" panose="020B0606020202030204" pitchFamily="34" charset="0"/>
              </a:rPr>
              <a:t>w SO i  SR w latach 2010-2014</a:t>
            </a:r>
            <a:endParaRPr lang="pl-PL" sz="1000">
              <a:latin typeface="Arial Narrow" panose="020B0606020202030204" pitchFamily="34" charset="0"/>
            </a:endParaRP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11615057073427477"/>
          <c:y val="0.15894471255609177"/>
          <c:w val="0.62297531672375539"/>
          <c:h val="0.75109812886292437"/>
        </c:manualLayout>
      </c:layout>
      <c:lineChart>
        <c:grouping val="standard"/>
        <c:varyColors val="0"/>
        <c:ser>
          <c:idx val="0"/>
          <c:order val="0"/>
          <c:tx>
            <c:strRef>
              <c:f>ewidencja!$A$52</c:f>
              <c:strCache>
                <c:ptCount val="1"/>
                <c:pt idx="0">
                  <c:v>OGÓŁEM</c:v>
                </c:pt>
              </c:strCache>
            </c:strRef>
          </c:tx>
          <c:spPr>
            <a:ln w="38100">
              <a:solidFill>
                <a:schemeClr val="tx1"/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ewidencja!$B$52:$F$52</c:f>
              <c:numCache>
                <c:formatCode>#,##0.0</c:formatCode>
                <c:ptCount val="5"/>
                <c:pt idx="0">
                  <c:v>3.8835659638183535</c:v>
                </c:pt>
                <c:pt idx="1">
                  <c:v>4.0567394805159598</c:v>
                </c:pt>
                <c:pt idx="2">
                  <c:v>4.2018502789922385</c:v>
                </c:pt>
                <c:pt idx="3">
                  <c:v>4.0535920048861991</c:v>
                </c:pt>
                <c:pt idx="4">
                  <c:v>4.5908220925213099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ewidencja!$A$54</c:f>
              <c:strCache>
                <c:ptCount val="1"/>
                <c:pt idx="0">
                  <c:v>karne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ewidencja!$B$54:$F$54</c:f>
              <c:numCache>
                <c:formatCode>#,##0.0</c:formatCode>
                <c:ptCount val="5"/>
                <c:pt idx="0">
                  <c:v>3.353853694655772</c:v>
                </c:pt>
                <c:pt idx="1">
                  <c:v>3.3160906024046013</c:v>
                </c:pt>
                <c:pt idx="2">
                  <c:v>3.3100343287331131</c:v>
                </c:pt>
                <c:pt idx="3">
                  <c:v>3.3367623046419408</c:v>
                </c:pt>
                <c:pt idx="4">
                  <c:v>3.4374440030065498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ewidencja!$A$55</c:f>
              <c:strCache>
                <c:ptCount val="1"/>
                <c:pt idx="0">
                  <c:v>cywilne</c:v>
                </c:pt>
              </c:strCache>
            </c:strRef>
          </c:tx>
          <c:spPr>
            <a:ln>
              <a:solidFill>
                <a:srgbClr val="00B050"/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ewidencja!$B$55:$F$55</c:f>
              <c:numCache>
                <c:formatCode>#,##0.0</c:formatCode>
                <c:ptCount val="5"/>
                <c:pt idx="0">
                  <c:v>4.0223007225644336</c:v>
                </c:pt>
                <c:pt idx="1">
                  <c:v>4.2697880520640989</c:v>
                </c:pt>
                <c:pt idx="2">
                  <c:v>4.3557612228654197</c:v>
                </c:pt>
                <c:pt idx="3">
                  <c:v>4.0435087891110619</c:v>
                </c:pt>
                <c:pt idx="4">
                  <c:v>4.7703202093876831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ewidencja!$A$56</c:f>
              <c:strCache>
                <c:ptCount val="1"/>
                <c:pt idx="0">
                  <c:v>rodzinne</c:v>
                </c:pt>
              </c:strCache>
            </c:strRef>
          </c:tx>
          <c:spPr>
            <a:ln>
              <a:solidFill>
                <a:srgbClr val="F00ED5"/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ewidencja!$B$56:$F$56</c:f>
              <c:numCache>
                <c:formatCode>#,##0.0</c:formatCode>
                <c:ptCount val="5"/>
                <c:pt idx="0">
                  <c:v>4.0060301448595395</c:v>
                </c:pt>
                <c:pt idx="1">
                  <c:v>4.0348460969860946</c:v>
                </c:pt>
                <c:pt idx="2">
                  <c:v>4.113745636420675</c:v>
                </c:pt>
                <c:pt idx="3">
                  <c:v>4.2517046118679946</c:v>
                </c:pt>
                <c:pt idx="4">
                  <c:v>4.4949118215762098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ewidencja!$A$57</c:f>
              <c:strCache>
                <c:ptCount val="1"/>
                <c:pt idx="0">
                  <c:v>prawa pracy</c:v>
                </c:pt>
              </c:strCache>
            </c:strRef>
          </c:tx>
          <c:spPr>
            <a:ln>
              <a:solidFill>
                <a:schemeClr val="tx2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ewidencja!$B$57:$F$57</c:f>
              <c:numCache>
                <c:formatCode>#,##0.0</c:formatCode>
                <c:ptCount val="5"/>
                <c:pt idx="0">
                  <c:v>5.4027879731039139</c:v>
                </c:pt>
                <c:pt idx="1">
                  <c:v>5.6048385871629316</c:v>
                </c:pt>
                <c:pt idx="2">
                  <c:v>5.6097053079044121</c:v>
                </c:pt>
                <c:pt idx="3">
                  <c:v>6.2723030629006704</c:v>
                </c:pt>
                <c:pt idx="4">
                  <c:v>6.2884125113078762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ewidencja!$A$58</c:f>
              <c:strCache>
                <c:ptCount val="1"/>
                <c:pt idx="0">
                  <c:v>ubezpieczeń społecznych</c:v>
                </c:pt>
              </c:strCache>
            </c:strRef>
          </c:tx>
          <c:spPr>
            <a:ln>
              <a:solidFill>
                <a:schemeClr val="accent6">
                  <a:lumMod val="50000"/>
                </a:schemeClr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ewidencja!$B$58:$F$58</c:f>
              <c:numCache>
                <c:formatCode>#,##0.0</c:formatCode>
                <c:ptCount val="5"/>
                <c:pt idx="0">
                  <c:v>6.8580613348000075</c:v>
                </c:pt>
                <c:pt idx="1">
                  <c:v>7.1537102473498235</c:v>
                </c:pt>
                <c:pt idx="2">
                  <c:v>7.3329731616699778</c:v>
                </c:pt>
                <c:pt idx="3">
                  <c:v>7.9429609504364738</c:v>
                </c:pt>
                <c:pt idx="4">
                  <c:v>8.3954395451797872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ewidencja!$A$59</c:f>
              <c:strCache>
                <c:ptCount val="1"/>
                <c:pt idx="0">
                  <c:v>gospodarcze</c:v>
                </c:pt>
              </c:strCache>
            </c:strRef>
          </c:tx>
          <c:spPr>
            <a:ln>
              <a:solidFill>
                <a:schemeClr val="accent4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ewidencja!$B$51:$F$51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ewidencja!$B$59:$F$59</c:f>
              <c:numCache>
                <c:formatCode>#,##0.0</c:formatCode>
                <c:ptCount val="5"/>
                <c:pt idx="0">
                  <c:v>3.4229057133977365</c:v>
                </c:pt>
                <c:pt idx="1">
                  <c:v>3.7377503152243179</c:v>
                </c:pt>
                <c:pt idx="2">
                  <c:v>4.1186832937626203</c:v>
                </c:pt>
                <c:pt idx="3">
                  <c:v>4.2115178234284842</c:v>
                </c:pt>
                <c:pt idx="4">
                  <c:v>4.7333198110612189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9861888"/>
        <c:axId val="189863424"/>
      </c:lineChart>
      <c:catAx>
        <c:axId val="189861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 b="1">
                <a:latin typeface="Arial Narrow" panose="020B0606020202030204" pitchFamily="34" charset="0"/>
              </a:defRPr>
            </a:pPr>
            <a:endParaRPr lang="pl-PL"/>
          </a:p>
        </c:txPr>
        <c:crossAx val="189863424"/>
        <c:crosses val="autoZero"/>
        <c:auto val="1"/>
        <c:lblAlgn val="ctr"/>
        <c:lblOffset val="100"/>
        <c:noMultiLvlLbl val="0"/>
      </c:catAx>
      <c:valAx>
        <c:axId val="189863424"/>
        <c:scaling>
          <c:orientation val="minMax"/>
          <c:min val="2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w miesiącach</a:t>
                </a:r>
              </a:p>
            </c:rich>
          </c:tx>
          <c:layout/>
          <c:overlay val="0"/>
        </c:title>
        <c:numFmt formatCode="#,##0.0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898618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2141557399942702"/>
          <c:y val="0.35198102646807705"/>
          <c:w val="0.2634041573217703"/>
          <c:h val="0.46141934667805079"/>
        </c:manualLayout>
      </c:layout>
      <c:overlay val="0"/>
      <c:txPr>
        <a:bodyPr/>
        <a:lstStyle/>
        <a:p>
          <a:pPr>
            <a:defRPr sz="900">
              <a:latin typeface="Arial Narrow" panose="020B0606020202030204" pitchFamily="34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Wykres 12. Wpływ skarg na przewlekłość postępowania w latach 2010-2014</a:t>
            </a:r>
          </a:p>
        </c:rich>
      </c:tx>
      <c:layout>
        <c:manualLayout>
          <c:xMode val="edge"/>
          <c:yMode val="edge"/>
          <c:x val="0.20560429946256717"/>
          <c:y val="3.0341448698223066E-2"/>
        </c:manualLayout>
      </c:layout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'skargi (3)'!$P$7</c:f>
              <c:strCache>
                <c:ptCount val="1"/>
                <c:pt idx="0">
                  <c:v>OGÓŁEM</c:v>
                </c:pt>
              </c:strCache>
            </c:strRef>
          </c:tx>
          <c:spPr>
            <a:solidFill>
              <a:schemeClr val="bg1">
                <a:lumMod val="50000"/>
              </a:schemeClr>
            </a:solidFill>
          </c:spPr>
          <c:invertIfNegative val="0"/>
          <c:cat>
            <c:numRef>
              <c:f>'skargi (3)'!$Q$6:$U$6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(3)'!$Q$7:$U$7</c:f>
              <c:numCache>
                <c:formatCode>#,##0</c:formatCode>
                <c:ptCount val="5"/>
                <c:pt idx="0">
                  <c:v>5327</c:v>
                </c:pt>
                <c:pt idx="1">
                  <c:v>6548</c:v>
                </c:pt>
                <c:pt idx="2">
                  <c:v>8665</c:v>
                </c:pt>
                <c:pt idx="3">
                  <c:v>12532</c:v>
                </c:pt>
                <c:pt idx="4">
                  <c:v>16286</c:v>
                </c:pt>
              </c:numCache>
            </c:numRef>
          </c:val>
        </c:ser>
        <c:ser>
          <c:idx val="1"/>
          <c:order val="1"/>
          <c:tx>
            <c:strRef>
              <c:f>'skargi (3)'!$P$8</c:f>
              <c:strCache>
                <c:ptCount val="1"/>
                <c:pt idx="0">
                  <c:v>karne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numRef>
              <c:f>'skargi (3)'!$Q$6:$U$6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(3)'!$Q$8:$U$8</c:f>
              <c:numCache>
                <c:formatCode>#,##0</c:formatCode>
                <c:ptCount val="5"/>
                <c:pt idx="0">
                  <c:v>2188</c:v>
                </c:pt>
                <c:pt idx="1">
                  <c:v>2129</c:v>
                </c:pt>
                <c:pt idx="2">
                  <c:v>2211</c:v>
                </c:pt>
                <c:pt idx="3">
                  <c:v>2581</c:v>
                </c:pt>
                <c:pt idx="4">
                  <c:v>3076</c:v>
                </c:pt>
              </c:numCache>
            </c:numRef>
          </c:val>
        </c:ser>
        <c:ser>
          <c:idx val="2"/>
          <c:order val="2"/>
          <c:tx>
            <c:strRef>
              <c:f>'skargi (3)'!$P$9</c:f>
              <c:strCache>
                <c:ptCount val="1"/>
                <c:pt idx="0">
                  <c:v>cywilne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numRef>
              <c:f>'skargi (3)'!$Q$6:$U$6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(3)'!$Q$9:$U$9</c:f>
              <c:numCache>
                <c:formatCode>#,##0</c:formatCode>
                <c:ptCount val="5"/>
                <c:pt idx="0">
                  <c:v>2716</c:v>
                </c:pt>
                <c:pt idx="1">
                  <c:v>3871</c:v>
                </c:pt>
                <c:pt idx="2">
                  <c:v>5457</c:v>
                </c:pt>
                <c:pt idx="3">
                  <c:v>8996</c:v>
                </c:pt>
                <c:pt idx="4">
                  <c:v>12109</c:v>
                </c:pt>
              </c:numCache>
            </c:numRef>
          </c:val>
        </c:ser>
        <c:ser>
          <c:idx val="3"/>
          <c:order val="3"/>
          <c:tx>
            <c:strRef>
              <c:f>'skargi (3)'!$P$10</c:f>
              <c:strCache>
                <c:ptCount val="1"/>
                <c:pt idx="0">
                  <c:v>ubezp. społ.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</c:spPr>
          <c:invertIfNegative val="0"/>
          <c:cat>
            <c:numRef>
              <c:f>'skargi (3)'!$Q$6:$U$6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(3)'!$Q$10:$U$10</c:f>
              <c:numCache>
                <c:formatCode>#,##0</c:formatCode>
                <c:ptCount val="5"/>
                <c:pt idx="0">
                  <c:v>98</c:v>
                </c:pt>
                <c:pt idx="1">
                  <c:v>146</c:v>
                </c:pt>
                <c:pt idx="2">
                  <c:v>526</c:v>
                </c:pt>
                <c:pt idx="3">
                  <c:v>185</c:v>
                </c:pt>
                <c:pt idx="4">
                  <c:v>177</c:v>
                </c:pt>
              </c:numCache>
            </c:numRef>
          </c:val>
        </c:ser>
        <c:ser>
          <c:idx val="4"/>
          <c:order val="4"/>
          <c:tx>
            <c:strRef>
              <c:f>'skargi (3)'!$P$11</c:f>
              <c:strCache>
                <c:ptCount val="1"/>
                <c:pt idx="0">
                  <c:v>prawa pracy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</c:spPr>
          <c:invertIfNegative val="0"/>
          <c:cat>
            <c:numRef>
              <c:f>'skargi (3)'!$Q$6:$U$6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(3)'!$Q$11:$U$11</c:f>
              <c:numCache>
                <c:formatCode>#,##0</c:formatCode>
                <c:ptCount val="5"/>
                <c:pt idx="0">
                  <c:v>167</c:v>
                </c:pt>
                <c:pt idx="1">
                  <c:v>143</c:v>
                </c:pt>
                <c:pt idx="2">
                  <c:v>144</c:v>
                </c:pt>
                <c:pt idx="3">
                  <c:v>212</c:v>
                </c:pt>
                <c:pt idx="4">
                  <c:v>192</c:v>
                </c:pt>
              </c:numCache>
            </c:numRef>
          </c:val>
        </c:ser>
        <c:ser>
          <c:idx val="5"/>
          <c:order val="5"/>
          <c:tx>
            <c:strRef>
              <c:f>'skargi (3)'!$P$12</c:f>
              <c:strCache>
                <c:ptCount val="1"/>
                <c:pt idx="0">
                  <c:v>gospodarcze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</c:spPr>
          <c:invertIfNegative val="0"/>
          <c:cat>
            <c:numRef>
              <c:f>'skargi (3)'!$Q$6:$U$6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(3)'!$Q$12:$U$12</c:f>
              <c:numCache>
                <c:formatCode>#,##0</c:formatCode>
                <c:ptCount val="5"/>
                <c:pt idx="0">
                  <c:v>158</c:v>
                </c:pt>
                <c:pt idx="1">
                  <c:v>259</c:v>
                </c:pt>
                <c:pt idx="2">
                  <c:v>327</c:v>
                </c:pt>
                <c:pt idx="3">
                  <c:v>558</c:v>
                </c:pt>
                <c:pt idx="4">
                  <c:v>732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9914496"/>
        <c:axId val="189920384"/>
      </c:barChart>
      <c:catAx>
        <c:axId val="189914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89920384"/>
        <c:crosses val="autoZero"/>
        <c:auto val="1"/>
        <c:lblAlgn val="ctr"/>
        <c:lblOffset val="100"/>
        <c:noMultiLvlLbl val="0"/>
      </c:catAx>
      <c:valAx>
        <c:axId val="1899203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pl-PL"/>
                  <a:t>(w tys.)</a:t>
                </a:r>
              </a:p>
            </c:rich>
          </c:tx>
          <c:layout>
            <c:manualLayout>
              <c:xMode val="edge"/>
              <c:yMode val="edge"/>
              <c:x val="7.3800738007380073E-2"/>
              <c:y val="0.33845433135039049"/>
            </c:manualLayout>
          </c:layout>
          <c:overlay val="0"/>
        </c:title>
        <c:numFmt formatCode="#,##0.0," sourceLinked="0"/>
        <c:majorTickMark val="out"/>
        <c:minorTickMark val="none"/>
        <c:tickLblPos val="nextTo"/>
        <c:crossAx val="18991449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 sz="900" b="1">
          <a:latin typeface="Arial Narrow" panose="020B0606020202030204" pitchFamily="34" charset="0"/>
        </a:defRPr>
      </a:pPr>
      <a:endParaRPr lang="pl-PL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/>
              <a:t>Wykres 13. Struktura załatwień skarg w latach 2010-2014</a:t>
            </a:r>
          </a:p>
        </c:rich>
      </c:tx>
      <c:layout>
        <c:manualLayout>
          <c:xMode val="edge"/>
          <c:yMode val="edge"/>
          <c:x val="0.36361842042471959"/>
          <c:y val="3.034144869822306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4897503196715795"/>
          <c:y val="0.14347729789590255"/>
          <c:w val="0.73820445521232925"/>
          <c:h val="0.53427123935089504"/>
        </c:manualLayout>
      </c:layout>
      <c:lineChart>
        <c:grouping val="standard"/>
        <c:varyColors val="0"/>
        <c:ser>
          <c:idx val="0"/>
          <c:order val="0"/>
          <c:tx>
            <c:strRef>
              <c:f>'skargi (3)'!$P$15</c:f>
              <c:strCache>
                <c:ptCount val="1"/>
                <c:pt idx="0">
                  <c:v>uwzględniono</c:v>
                </c:pt>
              </c:strCache>
            </c:strRef>
          </c:tx>
          <c:spPr>
            <a:ln w="38100">
              <a:solidFill>
                <a:srgbClr val="00B050"/>
              </a:solidFill>
            </a:ln>
          </c:spPr>
          <c:marker>
            <c:symbol val="none"/>
          </c:marker>
          <c:cat>
            <c:numRef>
              <c:f>'skargi (3)'!$Q$14:$U$14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(3)'!$Q$15:$U$15</c:f>
              <c:numCache>
                <c:formatCode>0.0%</c:formatCode>
                <c:ptCount val="5"/>
                <c:pt idx="0">
                  <c:v>0.19746588693957115</c:v>
                </c:pt>
                <c:pt idx="1">
                  <c:v>0.18858370415835507</c:v>
                </c:pt>
                <c:pt idx="2">
                  <c:v>0.18003312041637096</c:v>
                </c:pt>
                <c:pt idx="3">
                  <c:v>0.13072164948453607</c:v>
                </c:pt>
                <c:pt idx="4">
                  <c:v>0.10914327736242187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'skargi (3)'!$P$16</c:f>
              <c:strCache>
                <c:ptCount val="1"/>
                <c:pt idx="0">
                  <c:v>oddalono</c:v>
                </c:pt>
              </c:strCache>
            </c:strRef>
          </c:tx>
          <c:spPr>
            <a:ln w="38100">
              <a:solidFill>
                <a:schemeClr val="accent4">
                  <a:lumMod val="75000"/>
                </a:schemeClr>
              </a:solidFill>
            </a:ln>
          </c:spPr>
          <c:marker>
            <c:symbol val="none"/>
          </c:marker>
          <c:cat>
            <c:numRef>
              <c:f>'skargi (3)'!$Q$14:$U$14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(3)'!$Q$16:$U$16</c:f>
              <c:numCache>
                <c:formatCode>0.0%</c:formatCode>
                <c:ptCount val="5"/>
                <c:pt idx="0">
                  <c:v>0.37953216374269005</c:v>
                </c:pt>
                <c:pt idx="1">
                  <c:v>0.35184901028080406</c:v>
                </c:pt>
                <c:pt idx="2">
                  <c:v>0.32446179323397206</c:v>
                </c:pt>
                <c:pt idx="3">
                  <c:v>0.28437113402061853</c:v>
                </c:pt>
                <c:pt idx="4">
                  <c:v>0.2243534746905258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'skargi (3)'!$P$17</c:f>
              <c:strCache>
                <c:ptCount val="1"/>
                <c:pt idx="0">
                  <c:v>odrzucono</c:v>
                </c:pt>
              </c:strCache>
            </c:strRef>
          </c:tx>
          <c:spPr>
            <a:ln w="38100">
              <a:solidFill>
                <a:srgbClr val="F00ED5"/>
              </a:solidFill>
            </a:ln>
          </c:spPr>
          <c:marker>
            <c:symbol val="none"/>
          </c:marker>
          <c:cat>
            <c:numRef>
              <c:f>'skargi (3)'!$Q$14:$U$14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(3)'!$Q$17:$U$17</c:f>
              <c:numCache>
                <c:formatCode>0.0%</c:formatCode>
                <c:ptCount val="5"/>
                <c:pt idx="0">
                  <c:v>0.22748538011695907</c:v>
                </c:pt>
                <c:pt idx="1">
                  <c:v>0.27481970231701702</c:v>
                </c:pt>
                <c:pt idx="2">
                  <c:v>0.3542701679678259</c:v>
                </c:pt>
                <c:pt idx="3">
                  <c:v>0.46449484536082475</c:v>
                </c:pt>
                <c:pt idx="4">
                  <c:v>0.51936511827429832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'skargi (3)'!$P$18</c:f>
              <c:strCache>
                <c:ptCount val="1"/>
                <c:pt idx="0">
                  <c:v>załatw. w inny sposób</c:v>
                </c:pt>
              </c:strCache>
            </c:strRef>
          </c:tx>
          <c:spPr>
            <a:ln w="38100">
              <a:solidFill>
                <a:srgbClr val="00B0F0"/>
              </a:solidFill>
            </a:ln>
          </c:spPr>
          <c:marker>
            <c:symbol val="none"/>
          </c:marker>
          <c:cat>
            <c:numRef>
              <c:f>'skargi (3)'!$Q$14:$U$14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(3)'!$Q$18:$U$18</c:f>
              <c:numCache>
                <c:formatCode>0.0%</c:formatCode>
                <c:ptCount val="5"/>
                <c:pt idx="0">
                  <c:v>0.19434697855750488</c:v>
                </c:pt>
                <c:pt idx="1">
                  <c:v>0.18413380389749884</c:v>
                </c:pt>
                <c:pt idx="2">
                  <c:v>0.14111663118050627</c:v>
                </c:pt>
                <c:pt idx="3">
                  <c:v>0.12041237113402062</c:v>
                </c:pt>
                <c:pt idx="4">
                  <c:v>0.14726069371246475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231680"/>
        <c:axId val="190233216"/>
      </c:lineChart>
      <c:catAx>
        <c:axId val="190231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90233216"/>
        <c:crosses val="autoZero"/>
        <c:auto val="1"/>
        <c:lblAlgn val="ctr"/>
        <c:lblOffset val="100"/>
        <c:noMultiLvlLbl val="0"/>
      </c:catAx>
      <c:valAx>
        <c:axId val="190233216"/>
        <c:scaling>
          <c:orientation val="minMax"/>
        </c:scaling>
        <c:delete val="0"/>
        <c:axPos val="l"/>
        <c:majorGridlines/>
        <c:numFmt formatCode="0.0%" sourceLinked="0"/>
        <c:majorTickMark val="out"/>
        <c:minorTickMark val="none"/>
        <c:tickLblPos val="nextTo"/>
        <c:crossAx val="19023168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 sz="900" b="1">
          <a:latin typeface="Arial Narrow" panose="020B0606020202030204" pitchFamily="34" charset="0"/>
        </a:defRPr>
      </a:pPr>
      <a:endParaRPr lang="pl-PL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 sz="1000">
                <a:latin typeface="Arial Narrow" panose="020B0606020202030204" pitchFamily="34" charset="0"/>
              </a:rPr>
              <a:t>Wykres 15. Odsetek skarg uwzględnionych do wpływu spraw w sądach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w latach 2010 -2014</a:t>
            </a:r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2717F5"/>
            </a:solidFill>
          </c:spPr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'skargi (3)'!$Q$24:$U$24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(3)'!$Q$25:$U$25</c:f>
              <c:numCache>
                <c:formatCode>0.000</c:formatCode>
                <c:ptCount val="5"/>
                <c:pt idx="0">
                  <c:v>1.9E-2</c:v>
                </c:pt>
                <c:pt idx="1">
                  <c:v>0.02</c:v>
                </c:pt>
                <c:pt idx="2">
                  <c:v>2.3E-2</c:v>
                </c:pt>
                <c:pt idx="3">
                  <c:v>2.1000000000000001E-2</c:v>
                </c:pt>
                <c:pt idx="4">
                  <c:v>2.5000000000000001E-2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0324736"/>
        <c:axId val="190326272"/>
      </c:barChart>
      <c:catAx>
        <c:axId val="1903247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 b="1">
                <a:latin typeface="Arial Narrow" panose="020B0606020202030204" pitchFamily="34" charset="0"/>
              </a:defRPr>
            </a:pPr>
            <a:endParaRPr lang="pl-PL"/>
          </a:p>
        </c:txPr>
        <c:crossAx val="190326272"/>
        <c:crosses val="autoZero"/>
        <c:auto val="1"/>
        <c:lblAlgn val="ctr"/>
        <c:lblOffset val="100"/>
        <c:noMultiLvlLbl val="0"/>
      </c:catAx>
      <c:valAx>
        <c:axId val="190326272"/>
        <c:scaling>
          <c:orientation val="minMax"/>
        </c:scaling>
        <c:delete val="0"/>
        <c:axPos val="l"/>
        <c:majorGridlines/>
        <c:numFmt formatCode="0.000" sourceLinked="1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903247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 sz="1000">
                <a:latin typeface="Arial Narrow" panose="020B0606020202030204" pitchFamily="34" charset="0"/>
              </a:rPr>
              <a:t>Wykres 16. Kwoty zasądzonych odszkodowań za przewlekłość postępowania </a:t>
            </a:r>
            <a:br>
              <a:rPr lang="pl-PL" sz="1000">
                <a:latin typeface="Arial Narrow" panose="020B0606020202030204" pitchFamily="34" charset="0"/>
              </a:rPr>
            </a:br>
            <a:r>
              <a:rPr lang="pl-PL" sz="1000">
                <a:latin typeface="Arial Narrow" panose="020B0606020202030204" pitchFamily="34" charset="0"/>
              </a:rPr>
              <a:t>w latach 2010-2014</a:t>
            </a:r>
          </a:p>
        </c:rich>
      </c:tx>
      <c:layout>
        <c:manualLayout>
          <c:xMode val="edge"/>
          <c:yMode val="edge"/>
          <c:x val="0.18338560331849105"/>
          <c:y val="1.508559612759683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0236009796434309"/>
          <c:y val="0.12257177769804006"/>
          <c:w val="0.75896754867585314"/>
          <c:h val="0.67008007178662987"/>
        </c:manualLayout>
      </c:layout>
      <c:barChart>
        <c:barDir val="col"/>
        <c:grouping val="clustered"/>
        <c:varyColors val="0"/>
        <c:ser>
          <c:idx val="1"/>
          <c:order val="1"/>
          <c:tx>
            <c:strRef>
              <c:f>'skargi (3)'!$P$22</c:f>
              <c:strCache>
                <c:ptCount val="1"/>
                <c:pt idx="0">
                  <c:v>średnia kwota na sprawę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</c:spPr>
          <c:invertIfNegative val="0"/>
          <c:dLbls>
            <c:numFmt formatCode="#,##0.0," sourceLinked="0"/>
            <c:txPr>
              <a:bodyPr/>
              <a:lstStyle/>
              <a:p>
                <a:pPr>
                  <a:defRPr sz="9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'skargi (3)'!$Q$22:$U$22</c:f>
              <c:numCache>
                <c:formatCode>#,##0</c:formatCode>
                <c:ptCount val="5"/>
                <c:pt idx="0">
                  <c:v>3234.3898488120949</c:v>
                </c:pt>
                <c:pt idx="1">
                  <c:v>3129.4344473007714</c:v>
                </c:pt>
                <c:pt idx="2">
                  <c:v>2751.7247075017208</c:v>
                </c:pt>
                <c:pt idx="3">
                  <c:v>2953.7635934426235</c:v>
                </c:pt>
                <c:pt idx="4">
                  <c:v>2770.2536023054754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0379520"/>
        <c:axId val="190365056"/>
      </c:barChart>
      <c:lineChart>
        <c:grouping val="standard"/>
        <c:varyColors val="0"/>
        <c:ser>
          <c:idx val="0"/>
          <c:order val="0"/>
          <c:tx>
            <c:strRef>
              <c:f>'skargi (3)'!$P$21</c:f>
              <c:strCache>
                <c:ptCount val="1"/>
                <c:pt idx="0">
                  <c:v>kwota ogólna</c:v>
                </c:pt>
              </c:strCache>
            </c:strRef>
          </c:tx>
          <c:spPr>
            <a:ln w="44450">
              <a:solidFill>
                <a:srgbClr val="FF6600"/>
              </a:solidFill>
            </a:ln>
          </c:spPr>
          <c:marker>
            <c:symbol val="none"/>
          </c:marker>
          <c:dLbls>
            <c:dLbl>
              <c:idx val="0"/>
              <c:layout>
                <c:manualLayout>
                  <c:x val="-3.1175054065398881E-2"/>
                  <c:y val="6.881448564023562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8776972983445122E-2"/>
                  <c:y val="3.44085974893103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2.3980810819537599E-2"/>
                  <c:y val="3.44085974893103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918464865563008E-2"/>
                  <c:y val="-3.440859748931030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1175054065398881E-2"/>
                  <c:y val="-6.881719497862061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.0,," sourceLinked="0"/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 sz="800" b="1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'skargi (3)'!$Q$20:$U$20</c:f>
              <c:numCache>
                <c:formatCode>General</c:formatCode>
                <c:ptCount val="5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</c:numCache>
            </c:numRef>
          </c:cat>
          <c:val>
            <c:numRef>
              <c:f>'skargi (3)'!$Q$21:$U$21</c:f>
              <c:numCache>
                <c:formatCode>#,##0</c:formatCode>
                <c:ptCount val="5"/>
                <c:pt idx="0">
                  <c:v>2995045</c:v>
                </c:pt>
                <c:pt idx="1">
                  <c:v>3652050</c:v>
                </c:pt>
                <c:pt idx="2">
                  <c:v>3998256</c:v>
                </c:pt>
                <c:pt idx="3">
                  <c:v>4504489.4800000004</c:v>
                </c:pt>
                <c:pt idx="4">
                  <c:v>4806390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0361600"/>
        <c:axId val="190363136"/>
      </c:lineChart>
      <c:catAx>
        <c:axId val="1903616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 b="1">
                <a:latin typeface="Arial Narrow" panose="020B0606020202030204" pitchFamily="34" charset="0"/>
              </a:defRPr>
            </a:pPr>
            <a:endParaRPr lang="pl-PL"/>
          </a:p>
        </c:txPr>
        <c:crossAx val="190363136"/>
        <c:crosses val="autoZero"/>
        <c:auto val="1"/>
        <c:lblAlgn val="ctr"/>
        <c:lblOffset val="100"/>
        <c:noMultiLvlLbl val="0"/>
      </c:catAx>
      <c:valAx>
        <c:axId val="19036313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800">
                    <a:latin typeface="Arial Narrow" panose="020B0606020202030204" pitchFamily="34" charset="0"/>
                  </a:defRPr>
                </a:pPr>
                <a:r>
                  <a:rPr lang="pl-PL" sz="800">
                    <a:latin typeface="Arial Narrow" panose="020B0606020202030204" pitchFamily="34" charset="0"/>
                  </a:rPr>
                  <a:t>całkowita kwota (w mln. PLN)</a:t>
                </a:r>
              </a:p>
            </c:rich>
          </c:tx>
          <c:layout>
            <c:manualLayout>
              <c:xMode val="edge"/>
              <c:yMode val="edge"/>
              <c:x val="2.768582026420251E-2"/>
              <c:y val="0.28980979902669729"/>
            </c:manualLayout>
          </c:layout>
          <c:overlay val="0"/>
        </c:title>
        <c:numFmt formatCode="#,##0.0,," sourceLinked="0"/>
        <c:majorTickMark val="out"/>
        <c:minorTickMark val="none"/>
        <c:tickLblPos val="nextTo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  <c:crossAx val="190361600"/>
        <c:crosses val="autoZero"/>
        <c:crossBetween val="between"/>
      </c:valAx>
      <c:valAx>
        <c:axId val="190365056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 sz="800">
                    <a:latin typeface="Arial Narrow" panose="020B0606020202030204" pitchFamily="34" charset="0"/>
                  </a:defRPr>
                </a:pPr>
                <a:r>
                  <a:rPr lang="pl-PL" sz="800">
                    <a:latin typeface="Arial Narrow" panose="020B0606020202030204" pitchFamily="34" charset="0"/>
                  </a:rPr>
                  <a:t>średni akwota (w tys. PLN)</a:t>
                </a:r>
              </a:p>
            </c:rich>
          </c:tx>
          <c:layout>
            <c:manualLayout>
              <c:xMode val="edge"/>
              <c:yMode val="edge"/>
              <c:x val="0.91812422475420141"/>
              <c:y val="0.27793016301005324"/>
            </c:manualLayout>
          </c:layout>
          <c:overlay val="0"/>
        </c:title>
        <c:numFmt formatCode="#,##0.0," sourceLinked="0"/>
        <c:majorTickMark val="out"/>
        <c:minorTickMark val="none"/>
        <c:tickLblPos val="nextTo"/>
        <c:txPr>
          <a:bodyPr/>
          <a:lstStyle/>
          <a:p>
            <a:pPr>
              <a:defRPr sz="800" b="1">
                <a:latin typeface="Arial Narrow" panose="020B0606020202030204" pitchFamily="34" charset="0"/>
              </a:defRPr>
            </a:pPr>
            <a:endParaRPr lang="pl-PL"/>
          </a:p>
        </c:txPr>
        <c:crossAx val="190379520"/>
        <c:crosses val="max"/>
        <c:crossBetween val="between"/>
      </c:valAx>
      <c:catAx>
        <c:axId val="190379520"/>
        <c:scaling>
          <c:orientation val="minMax"/>
        </c:scaling>
        <c:delete val="1"/>
        <c:axPos val="b"/>
        <c:majorTickMark val="out"/>
        <c:minorTickMark val="none"/>
        <c:tickLblPos val="nextTo"/>
        <c:crossAx val="190365056"/>
        <c:crosses val="autoZero"/>
        <c:auto val="1"/>
        <c:lblAlgn val="ctr"/>
        <c:lblOffset val="100"/>
        <c:noMultiLvlLbl val="0"/>
      </c:catAx>
    </c:plotArea>
    <c:legend>
      <c:legendPos val="r"/>
      <c:legendEntry>
        <c:idx val="0"/>
        <c:txPr>
          <a:bodyPr/>
          <a:lstStyle/>
          <a:p>
            <a:pPr>
              <a:defRPr sz="900" b="1">
                <a:latin typeface="Arial Narrow" panose="020B0606020202030204" pitchFamily="34" charset="0"/>
              </a:defRPr>
            </a:pPr>
            <a:endParaRPr lang="pl-PL"/>
          </a:p>
        </c:txPr>
      </c:legendEntry>
      <c:layout>
        <c:manualLayout>
          <c:xMode val="edge"/>
          <c:yMode val="edge"/>
          <c:x val="6.1718574434394026E-2"/>
          <c:y val="0.86696796315733293"/>
          <c:w val="0.8963050693043535"/>
          <c:h val="0.13254516873488525"/>
        </c:manualLayout>
      </c:layout>
      <c:overlay val="0"/>
      <c:txPr>
        <a:bodyPr/>
        <a:lstStyle/>
        <a:p>
          <a:pPr>
            <a:defRPr sz="800" b="1">
              <a:latin typeface="Arial Narrow" panose="020B0606020202030204" pitchFamily="34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B544F-0BC2-45E0-BD86-76496B765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13</Pages>
  <Words>1791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Bieługa Robert</dc:creator>
  <cp:lastModifiedBy>Bieługa Robert</cp:lastModifiedBy>
  <cp:revision>33</cp:revision>
  <cp:lastPrinted>2015-03-05T11:15:00Z</cp:lastPrinted>
  <dcterms:created xsi:type="dcterms:W3CDTF">2015-02-27T09:36:00Z</dcterms:created>
  <dcterms:modified xsi:type="dcterms:W3CDTF">2015-03-05T11:15:00Z</dcterms:modified>
</cp:coreProperties>
</file>