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drawings/drawing1.xml" ContentType="application/vnd.openxmlformats-officedocument.drawingml.chartshapes+xml"/>
  <Override PartName="/word/charts/chart16.xml" ContentType="application/vnd.openxmlformats-officedocument.drawingml.chart+xml"/>
  <Override PartName="/word/drawings/drawing2.xml" ContentType="application/vnd.openxmlformats-officedocument.drawingml.chartshapes+xml"/>
  <Override PartName="/word/charts/chart17.xml" ContentType="application/vnd.openxmlformats-officedocument.drawingml.chart+xml"/>
  <Override PartName="/word/drawings/drawing3.xml" ContentType="application/vnd.openxmlformats-officedocument.drawingml.chartshapes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word/charts/chart22.xml" ContentType="application/vnd.openxmlformats-officedocument.drawingml.chart+xml"/>
  <Override PartName="/word/charts/chart23.xml" ContentType="application/vnd.openxmlformats-officedocument.drawingml.chart+xml"/>
  <Override PartName="/word/charts/chart24.xml" ContentType="application/vnd.openxmlformats-officedocument.drawingml.chart+xml"/>
  <Override PartName="/word/drawings/drawing4.xml" ContentType="application/vnd.openxmlformats-officedocument.drawingml.chartshapes+xml"/>
  <Override PartName="/word/charts/chart25.xml" ContentType="application/vnd.openxmlformats-officedocument.drawingml.chart+xml"/>
  <Override PartName="/word/drawings/drawing5.xml" ContentType="application/vnd.openxmlformats-officedocument.drawingml.chartshapes+xml"/>
  <Override PartName="/word/charts/chart26.xml" ContentType="application/vnd.openxmlformats-officedocument.drawingml.chart+xml"/>
  <Override PartName="/word/drawings/drawing6.xml" ContentType="application/vnd.openxmlformats-officedocument.drawingml.chartshap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88E" w:rsidRDefault="0097588E" w:rsidP="00FA2250">
      <w:pPr>
        <w:spacing w:after="0" w:line="240" w:lineRule="auto"/>
        <w:rPr>
          <w:rFonts w:ascii="Arial Narrow" w:hAnsi="Arial Narrow" w:cs="Arial"/>
          <w:sz w:val="24"/>
          <w:szCs w:val="24"/>
        </w:rPr>
      </w:pPr>
      <w:bookmarkStart w:id="0" w:name="_GoBack"/>
      <w:bookmarkEnd w:id="0"/>
    </w:p>
    <w:p w:rsidR="005F7634" w:rsidRPr="00FA2250" w:rsidRDefault="00FA2250" w:rsidP="00FA2250">
      <w:pPr>
        <w:spacing w:after="0" w:line="240" w:lineRule="auto"/>
        <w:rPr>
          <w:rFonts w:ascii="Arial Narrow" w:hAnsi="Arial Narrow" w:cs="Arial"/>
          <w:sz w:val="24"/>
          <w:szCs w:val="24"/>
        </w:rPr>
      </w:pPr>
      <w:r w:rsidRPr="00FA2250">
        <w:rPr>
          <w:rFonts w:ascii="Arial Narrow" w:hAnsi="Arial Narrow" w:cs="Arial"/>
          <w:sz w:val="24"/>
          <w:szCs w:val="24"/>
        </w:rPr>
        <w:t>Wydział Statystycznej Informacji Zarządczej</w:t>
      </w:r>
      <w:r w:rsidR="00A52A1A">
        <w:rPr>
          <w:rFonts w:ascii="Arial Narrow" w:hAnsi="Arial Narrow" w:cs="Arial"/>
          <w:sz w:val="24"/>
          <w:szCs w:val="24"/>
        </w:rPr>
        <w:t xml:space="preserve"> </w:t>
      </w:r>
      <w:r w:rsidR="00A52A1A">
        <w:rPr>
          <w:rFonts w:ascii="Arial Narrow" w:hAnsi="Arial Narrow" w:cs="Arial"/>
          <w:sz w:val="24"/>
          <w:szCs w:val="24"/>
        </w:rPr>
        <w:tab/>
      </w:r>
      <w:r w:rsidR="00A52A1A">
        <w:rPr>
          <w:rFonts w:ascii="Arial Narrow" w:hAnsi="Arial Narrow" w:cs="Arial"/>
          <w:sz w:val="24"/>
          <w:szCs w:val="24"/>
        </w:rPr>
        <w:tab/>
      </w:r>
      <w:r w:rsidR="00A52A1A">
        <w:rPr>
          <w:rFonts w:ascii="Arial Narrow" w:hAnsi="Arial Narrow" w:cs="Arial"/>
          <w:sz w:val="24"/>
          <w:szCs w:val="24"/>
        </w:rPr>
        <w:tab/>
      </w:r>
      <w:r w:rsidR="006E70E1">
        <w:rPr>
          <w:rFonts w:ascii="Arial Narrow" w:hAnsi="Arial Narrow" w:cs="Arial"/>
          <w:sz w:val="24"/>
          <w:szCs w:val="24"/>
        </w:rPr>
        <w:t xml:space="preserve">      </w:t>
      </w:r>
      <w:r w:rsidR="00A52A1A">
        <w:rPr>
          <w:rFonts w:ascii="Arial Narrow" w:hAnsi="Arial Narrow" w:cs="Arial"/>
          <w:sz w:val="24"/>
          <w:szCs w:val="24"/>
        </w:rPr>
        <w:t>Warszawa, dn. 1</w:t>
      </w:r>
      <w:r w:rsidR="0082229F">
        <w:rPr>
          <w:rFonts w:ascii="Arial Narrow" w:hAnsi="Arial Narrow" w:cs="Arial"/>
          <w:sz w:val="24"/>
          <w:szCs w:val="24"/>
        </w:rPr>
        <w:t>8</w:t>
      </w:r>
      <w:r w:rsidR="00A52A1A">
        <w:rPr>
          <w:rFonts w:ascii="Arial Narrow" w:hAnsi="Arial Narrow" w:cs="Arial"/>
          <w:sz w:val="24"/>
          <w:szCs w:val="24"/>
        </w:rPr>
        <w:t xml:space="preserve"> września 2014 r.</w:t>
      </w:r>
    </w:p>
    <w:p w:rsidR="00C50D94" w:rsidRDefault="00C50D94" w:rsidP="005F7634">
      <w:pPr>
        <w:jc w:val="center"/>
        <w:rPr>
          <w:rFonts w:ascii="Arial" w:hAnsi="Arial" w:cs="Arial"/>
        </w:rPr>
      </w:pPr>
    </w:p>
    <w:p w:rsidR="00C50D94" w:rsidRPr="005F7634" w:rsidRDefault="00C50D94" w:rsidP="005F7634">
      <w:pPr>
        <w:jc w:val="center"/>
        <w:rPr>
          <w:rFonts w:ascii="Arial" w:hAnsi="Arial" w:cs="Arial"/>
        </w:rPr>
      </w:pPr>
    </w:p>
    <w:p w:rsidR="005F7634" w:rsidRPr="005F7634" w:rsidRDefault="005F7634" w:rsidP="005F7634">
      <w:pPr>
        <w:jc w:val="center"/>
        <w:rPr>
          <w:rFonts w:ascii="Arial" w:hAnsi="Arial" w:cs="Arial"/>
        </w:rPr>
      </w:pPr>
    </w:p>
    <w:p w:rsidR="005F7634" w:rsidRPr="005F7634" w:rsidRDefault="005F7634" w:rsidP="005F7634">
      <w:pPr>
        <w:jc w:val="center"/>
        <w:rPr>
          <w:rFonts w:ascii="Arial" w:hAnsi="Arial" w:cs="Arial"/>
          <w:b/>
          <w:sz w:val="28"/>
          <w:szCs w:val="28"/>
        </w:rPr>
      </w:pPr>
      <w:r w:rsidRPr="005F7634">
        <w:rPr>
          <w:rFonts w:ascii="Arial" w:hAnsi="Arial" w:cs="Arial"/>
          <w:b/>
          <w:sz w:val="28"/>
          <w:szCs w:val="28"/>
        </w:rPr>
        <w:t xml:space="preserve">Analiza </w:t>
      </w:r>
      <w:r w:rsidR="00541740">
        <w:rPr>
          <w:rFonts w:ascii="Arial" w:hAnsi="Arial" w:cs="Arial"/>
          <w:b/>
          <w:sz w:val="28"/>
          <w:szCs w:val="28"/>
        </w:rPr>
        <w:t xml:space="preserve">ilościowa </w:t>
      </w:r>
      <w:r w:rsidRPr="005F7634">
        <w:rPr>
          <w:rFonts w:ascii="Arial" w:hAnsi="Arial" w:cs="Arial"/>
          <w:b/>
          <w:sz w:val="28"/>
          <w:szCs w:val="28"/>
        </w:rPr>
        <w:t>skarg</w:t>
      </w:r>
    </w:p>
    <w:p w:rsidR="005F7634" w:rsidRDefault="005F7634" w:rsidP="005F7634">
      <w:pPr>
        <w:jc w:val="center"/>
        <w:rPr>
          <w:rFonts w:ascii="Arial" w:hAnsi="Arial" w:cs="Arial"/>
          <w:b/>
        </w:rPr>
      </w:pPr>
      <w:r w:rsidRPr="000A72A2">
        <w:rPr>
          <w:rFonts w:ascii="Arial" w:hAnsi="Arial" w:cs="Arial"/>
          <w:b/>
        </w:rPr>
        <w:t>na przewlekłość postępowania sądowego</w:t>
      </w:r>
      <w:r w:rsidR="00575A05">
        <w:rPr>
          <w:rFonts w:ascii="Arial" w:hAnsi="Arial" w:cs="Arial"/>
          <w:b/>
        </w:rPr>
        <w:t xml:space="preserve"> i </w:t>
      </w:r>
      <w:r w:rsidRPr="000A72A2">
        <w:rPr>
          <w:rFonts w:ascii="Arial" w:hAnsi="Arial" w:cs="Arial"/>
          <w:b/>
        </w:rPr>
        <w:t>przygotowawczego</w:t>
      </w:r>
      <w:r w:rsidR="00801C6F">
        <w:rPr>
          <w:rFonts w:ascii="Arial" w:hAnsi="Arial" w:cs="Arial"/>
          <w:b/>
        </w:rPr>
        <w:t xml:space="preserve"> (prokuratorskiego)</w:t>
      </w:r>
    </w:p>
    <w:p w:rsidR="0097588E" w:rsidRPr="000A72A2" w:rsidRDefault="0097588E" w:rsidP="005F763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- w zakresie spraw karnych i cywilnych</w:t>
      </w:r>
    </w:p>
    <w:p w:rsidR="00AD1ADC" w:rsidRDefault="005F7634" w:rsidP="005F7634">
      <w:pPr>
        <w:jc w:val="center"/>
        <w:rPr>
          <w:rFonts w:ascii="Arial" w:hAnsi="Arial" w:cs="Arial"/>
        </w:rPr>
      </w:pPr>
      <w:r w:rsidRPr="005F7634">
        <w:rPr>
          <w:rFonts w:ascii="Arial" w:hAnsi="Arial" w:cs="Arial"/>
        </w:rPr>
        <w:t>w latach 2009-2013</w:t>
      </w:r>
    </w:p>
    <w:p w:rsidR="000A72A2" w:rsidRDefault="000A72A2" w:rsidP="005F7634">
      <w:pPr>
        <w:jc w:val="center"/>
        <w:rPr>
          <w:rFonts w:ascii="Arial" w:hAnsi="Arial" w:cs="Arial"/>
        </w:rPr>
      </w:pPr>
    </w:p>
    <w:p w:rsidR="000A72A2" w:rsidRDefault="000A72A2" w:rsidP="005F7634">
      <w:pPr>
        <w:jc w:val="center"/>
        <w:rPr>
          <w:rFonts w:ascii="Arial" w:hAnsi="Arial" w:cs="Arial"/>
        </w:rPr>
      </w:pPr>
    </w:p>
    <w:p w:rsidR="000A72A2" w:rsidRPr="00B4568D" w:rsidRDefault="000A72A2" w:rsidP="00B4568D">
      <w:pPr>
        <w:jc w:val="both"/>
        <w:rPr>
          <w:rFonts w:ascii="Arial" w:hAnsi="Arial" w:cs="Arial"/>
        </w:rPr>
      </w:pPr>
    </w:p>
    <w:p w:rsidR="00B4568D" w:rsidRDefault="000A72A2" w:rsidP="00C50D94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  <w:r w:rsidRPr="00B4568D">
        <w:rPr>
          <w:rFonts w:ascii="Arial" w:hAnsi="Arial" w:cs="Arial"/>
          <w:b w:val="0"/>
          <w:sz w:val="22"/>
          <w:szCs w:val="22"/>
        </w:rPr>
        <w:t>Tryb wnoszenia i roz</w:t>
      </w:r>
      <w:r w:rsidR="009E7651">
        <w:rPr>
          <w:rFonts w:ascii="Arial" w:hAnsi="Arial" w:cs="Arial"/>
          <w:b w:val="0"/>
          <w:sz w:val="22"/>
          <w:szCs w:val="22"/>
        </w:rPr>
        <w:t>poznawania</w:t>
      </w:r>
      <w:r w:rsidRPr="00B4568D">
        <w:rPr>
          <w:rFonts w:ascii="Arial" w:hAnsi="Arial" w:cs="Arial"/>
          <w:b w:val="0"/>
          <w:sz w:val="22"/>
          <w:szCs w:val="22"/>
        </w:rPr>
        <w:t xml:space="preserve"> </w:t>
      </w:r>
      <w:r w:rsidR="00B4568D" w:rsidRPr="00B4568D">
        <w:rPr>
          <w:rFonts w:ascii="Arial" w:hAnsi="Arial" w:cs="Arial"/>
          <w:b w:val="0"/>
          <w:sz w:val="22"/>
          <w:szCs w:val="22"/>
        </w:rPr>
        <w:t xml:space="preserve">skarg na przewlekłość postępowania sądowego </w:t>
      </w:r>
      <w:r w:rsidR="00C50D94">
        <w:rPr>
          <w:rFonts w:ascii="Arial" w:hAnsi="Arial" w:cs="Arial"/>
          <w:b w:val="0"/>
          <w:sz w:val="22"/>
          <w:szCs w:val="22"/>
        </w:rPr>
        <w:br/>
      </w:r>
      <w:r w:rsidR="00B4568D" w:rsidRPr="00B4568D">
        <w:rPr>
          <w:rFonts w:ascii="Arial" w:hAnsi="Arial" w:cs="Arial"/>
          <w:b w:val="0"/>
          <w:sz w:val="22"/>
          <w:szCs w:val="22"/>
        </w:rPr>
        <w:t>i przygotowawczego</w:t>
      </w:r>
      <w:r w:rsidR="00C50D94">
        <w:rPr>
          <w:rFonts w:ascii="Arial" w:hAnsi="Arial" w:cs="Arial"/>
          <w:b w:val="0"/>
          <w:sz w:val="22"/>
          <w:szCs w:val="22"/>
        </w:rPr>
        <w:t xml:space="preserve"> reguluje ustawa </w:t>
      </w:r>
      <w:r w:rsidR="00C50D94" w:rsidRPr="00B4568D">
        <w:rPr>
          <w:rFonts w:ascii="Arial" w:hAnsi="Arial" w:cs="Arial"/>
          <w:b w:val="0"/>
          <w:sz w:val="22"/>
          <w:szCs w:val="22"/>
        </w:rPr>
        <w:t xml:space="preserve">z dnia 17 czerwca 2004 r. </w:t>
      </w:r>
      <w:r w:rsidR="00C50D94">
        <w:rPr>
          <w:rFonts w:ascii="Arial" w:hAnsi="Arial" w:cs="Arial"/>
          <w:b w:val="0"/>
          <w:sz w:val="22"/>
          <w:szCs w:val="22"/>
        </w:rPr>
        <w:t xml:space="preserve">- </w:t>
      </w:r>
      <w:r w:rsidR="00C50D94" w:rsidRPr="00C50D94">
        <w:rPr>
          <w:rFonts w:ascii="Arial" w:hAnsi="Arial" w:cs="Arial"/>
          <w:b w:val="0"/>
          <w:i/>
          <w:sz w:val="22"/>
          <w:szCs w:val="22"/>
        </w:rPr>
        <w:t>U</w:t>
      </w:r>
      <w:r w:rsidR="00B4568D" w:rsidRPr="00C50D94">
        <w:rPr>
          <w:rFonts w:ascii="Arial" w:hAnsi="Arial" w:cs="Arial"/>
          <w:b w:val="0"/>
          <w:i/>
          <w:sz w:val="22"/>
          <w:szCs w:val="22"/>
        </w:rPr>
        <w:t xml:space="preserve">stawa o skardze na </w:t>
      </w:r>
      <w:bookmarkStart w:id="1" w:name="highlightHit_0"/>
      <w:bookmarkEnd w:id="1"/>
      <w:r w:rsidR="00B4568D" w:rsidRPr="00C50D94">
        <w:rPr>
          <w:rFonts w:ascii="Arial" w:hAnsi="Arial" w:cs="Arial"/>
          <w:b w:val="0"/>
          <w:i/>
          <w:sz w:val="22"/>
          <w:szCs w:val="22"/>
        </w:rPr>
        <w:t xml:space="preserve">naruszenie </w:t>
      </w:r>
      <w:bookmarkStart w:id="2" w:name="highlightHit_1"/>
      <w:bookmarkEnd w:id="2"/>
      <w:r w:rsidR="00B4568D" w:rsidRPr="00C50D94">
        <w:rPr>
          <w:rFonts w:ascii="Arial" w:hAnsi="Arial" w:cs="Arial"/>
          <w:b w:val="0"/>
          <w:i/>
          <w:sz w:val="22"/>
          <w:szCs w:val="22"/>
        </w:rPr>
        <w:t xml:space="preserve">prawa </w:t>
      </w:r>
      <w:bookmarkStart w:id="3" w:name="highlightHit_2"/>
      <w:bookmarkEnd w:id="3"/>
      <w:r w:rsidR="00B4568D" w:rsidRPr="00C50D94">
        <w:rPr>
          <w:rFonts w:ascii="Arial" w:hAnsi="Arial" w:cs="Arial"/>
          <w:b w:val="0"/>
          <w:i/>
          <w:sz w:val="22"/>
          <w:szCs w:val="22"/>
        </w:rPr>
        <w:t>strony do rozpoznania sprawy w postępowaniu przygotowawczym prowadzonym lub nadzorowanym przez prokuratora i postępowaniu sądowym bez nieuzasadnionej zwłoki</w:t>
      </w:r>
      <w:r w:rsidR="00C50D94">
        <w:rPr>
          <w:rFonts w:ascii="Arial" w:hAnsi="Arial" w:cs="Arial"/>
          <w:b w:val="0"/>
          <w:sz w:val="22"/>
          <w:szCs w:val="22"/>
        </w:rPr>
        <w:t xml:space="preserve"> </w:t>
      </w:r>
      <w:hyperlink r:id="rId9" w:history="1">
        <w:r w:rsidR="00B4568D" w:rsidRPr="00C50D94">
          <w:rPr>
            <w:rFonts w:ascii="Arial" w:hAnsi="Arial" w:cs="Arial"/>
            <w:b w:val="0"/>
            <w:sz w:val="22"/>
            <w:szCs w:val="22"/>
          </w:rPr>
          <w:t>(</w:t>
        </w:r>
        <w:proofErr w:type="spellStart"/>
        <w:r w:rsidR="00B4568D" w:rsidRPr="00C50D94">
          <w:rPr>
            <w:rFonts w:ascii="Arial" w:hAnsi="Arial" w:cs="Arial"/>
            <w:b w:val="0"/>
            <w:sz w:val="22"/>
            <w:szCs w:val="22"/>
          </w:rPr>
          <w:t>Dz.U</w:t>
        </w:r>
        <w:proofErr w:type="spellEnd"/>
        <w:r w:rsidR="00B4568D" w:rsidRPr="00C50D94">
          <w:rPr>
            <w:rFonts w:ascii="Arial" w:hAnsi="Arial" w:cs="Arial"/>
            <w:b w:val="0"/>
            <w:sz w:val="22"/>
            <w:szCs w:val="22"/>
          </w:rPr>
          <w:t>. Nr 179, poz. 1843)</w:t>
        </w:r>
      </w:hyperlink>
      <w:r w:rsidR="00C50D94" w:rsidRPr="00C50D94">
        <w:rPr>
          <w:rFonts w:ascii="Arial" w:hAnsi="Arial" w:cs="Arial"/>
          <w:b w:val="0"/>
          <w:sz w:val="22"/>
          <w:szCs w:val="22"/>
        </w:rPr>
        <w:t>.</w:t>
      </w:r>
    </w:p>
    <w:p w:rsidR="00D60D2A" w:rsidRDefault="00D60D2A" w:rsidP="00C50D94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  <w:r w:rsidRPr="00FF4C49">
        <w:rPr>
          <w:rFonts w:ascii="Arial" w:hAnsi="Arial" w:cs="Arial"/>
          <w:b w:val="0"/>
          <w:sz w:val="22"/>
          <w:szCs w:val="22"/>
          <w:u w:val="single"/>
        </w:rPr>
        <w:t>Podstawowe założenia Ustawy</w:t>
      </w:r>
      <w:r>
        <w:rPr>
          <w:rFonts w:ascii="Arial" w:hAnsi="Arial" w:cs="Arial"/>
          <w:b w:val="0"/>
          <w:sz w:val="22"/>
          <w:szCs w:val="22"/>
        </w:rPr>
        <w:t>:</w:t>
      </w:r>
    </w:p>
    <w:p w:rsidR="00F30923" w:rsidRDefault="009E7651" w:rsidP="00D60D2A">
      <w:pPr>
        <w:pStyle w:val="Nagwek1"/>
        <w:numPr>
          <w:ilvl w:val="0"/>
          <w:numId w:val="1"/>
        </w:num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Skarga dotyczyć może przewlekłości</w:t>
      </w:r>
      <w:r w:rsidR="00F30923">
        <w:rPr>
          <w:rFonts w:ascii="Arial" w:hAnsi="Arial" w:cs="Arial"/>
          <w:b w:val="0"/>
          <w:sz w:val="22"/>
          <w:szCs w:val="22"/>
        </w:rPr>
        <w:t>:</w:t>
      </w:r>
    </w:p>
    <w:p w:rsidR="00A70131" w:rsidRDefault="009E7651" w:rsidP="00F30923">
      <w:pPr>
        <w:pStyle w:val="Nagwek1"/>
        <w:numPr>
          <w:ilvl w:val="1"/>
          <w:numId w:val="1"/>
        </w:num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postępowania prokuratorskiego lub sądowego</w:t>
      </w:r>
    </w:p>
    <w:p w:rsidR="00D60D2A" w:rsidRDefault="00A70131" w:rsidP="00F30923">
      <w:pPr>
        <w:pStyle w:val="Nagwek1"/>
        <w:numPr>
          <w:ilvl w:val="1"/>
          <w:numId w:val="1"/>
        </w:num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komorniczego lub sądowego </w:t>
      </w:r>
      <w:r w:rsidR="00F30923">
        <w:rPr>
          <w:rFonts w:ascii="Arial" w:hAnsi="Arial" w:cs="Arial"/>
          <w:b w:val="0"/>
          <w:sz w:val="22"/>
          <w:szCs w:val="22"/>
        </w:rPr>
        <w:t xml:space="preserve">postępowania egzekucyjnego </w:t>
      </w:r>
    </w:p>
    <w:p w:rsidR="008E43BC" w:rsidRDefault="00AA0CE8" w:rsidP="00F30923">
      <w:pPr>
        <w:pStyle w:val="Nagwek1"/>
        <w:numPr>
          <w:ilvl w:val="1"/>
          <w:numId w:val="1"/>
        </w:num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wykonania orzeczenia są</w:t>
      </w:r>
      <w:r w:rsidR="008E43BC">
        <w:rPr>
          <w:rFonts w:ascii="Arial" w:hAnsi="Arial" w:cs="Arial"/>
          <w:b w:val="0"/>
          <w:sz w:val="22"/>
          <w:szCs w:val="22"/>
        </w:rPr>
        <w:t>dowego</w:t>
      </w:r>
    </w:p>
    <w:p w:rsidR="008E43BC" w:rsidRDefault="00E7155F" w:rsidP="008E43BC">
      <w:pPr>
        <w:pStyle w:val="Nagwek1"/>
        <w:numPr>
          <w:ilvl w:val="0"/>
          <w:numId w:val="1"/>
        </w:num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Sądem właściwym do rozpoznania skargi jest sąd przełożony nad sądem</w:t>
      </w:r>
      <w:r w:rsidR="0013783E">
        <w:rPr>
          <w:rFonts w:ascii="Arial" w:hAnsi="Arial" w:cs="Arial"/>
          <w:b w:val="0"/>
          <w:sz w:val="22"/>
          <w:szCs w:val="22"/>
        </w:rPr>
        <w:t>, przed którym toczy się postępowanie</w:t>
      </w:r>
    </w:p>
    <w:p w:rsidR="0013783E" w:rsidRDefault="0013783E" w:rsidP="008E43BC">
      <w:pPr>
        <w:pStyle w:val="Nagwek1"/>
        <w:numPr>
          <w:ilvl w:val="0"/>
          <w:numId w:val="1"/>
        </w:num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Sąd rozpoznaje skargę w składzie trzech sędziów</w:t>
      </w:r>
    </w:p>
    <w:p w:rsidR="0013783E" w:rsidRDefault="00AE25D0" w:rsidP="008E43BC">
      <w:pPr>
        <w:pStyle w:val="Nagwek1"/>
        <w:numPr>
          <w:ilvl w:val="0"/>
          <w:numId w:val="1"/>
        </w:num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Sąd wydaje orzeczenie w terminie dwóch miesięcy, licząc od daty złożenia skargi</w:t>
      </w:r>
    </w:p>
    <w:p w:rsidR="00AE25D0" w:rsidRDefault="00AE25D0" w:rsidP="008E43BC">
      <w:pPr>
        <w:pStyle w:val="Nagwek1"/>
        <w:numPr>
          <w:ilvl w:val="0"/>
          <w:numId w:val="1"/>
        </w:num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Podstawowe</w:t>
      </w:r>
      <w:r w:rsidR="00C43A89">
        <w:rPr>
          <w:rFonts w:ascii="Arial" w:hAnsi="Arial" w:cs="Arial"/>
          <w:b w:val="0"/>
          <w:sz w:val="22"/>
          <w:szCs w:val="22"/>
        </w:rPr>
        <w:t xml:space="preserve"> sposoby załatwienia skargi to</w:t>
      </w:r>
      <w:r w:rsidR="00C542BA">
        <w:rPr>
          <w:rFonts w:ascii="Arial" w:hAnsi="Arial" w:cs="Arial"/>
          <w:b w:val="0"/>
          <w:sz w:val="22"/>
          <w:szCs w:val="22"/>
        </w:rPr>
        <w:t>:</w:t>
      </w:r>
    </w:p>
    <w:p w:rsidR="00C43A89" w:rsidRDefault="00C43A89" w:rsidP="00C43A89">
      <w:pPr>
        <w:pStyle w:val="Nagwek1"/>
        <w:numPr>
          <w:ilvl w:val="1"/>
          <w:numId w:val="1"/>
        </w:num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oddalenie (skarga niezasadna)</w:t>
      </w:r>
    </w:p>
    <w:p w:rsidR="00C43A89" w:rsidRDefault="00C43A89" w:rsidP="00C43A89">
      <w:pPr>
        <w:pStyle w:val="Nagwek1"/>
        <w:numPr>
          <w:ilvl w:val="1"/>
          <w:numId w:val="1"/>
        </w:num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odrzucenie (</w:t>
      </w:r>
      <w:r w:rsidR="006672EC">
        <w:rPr>
          <w:rFonts w:ascii="Arial" w:hAnsi="Arial" w:cs="Arial"/>
          <w:b w:val="0"/>
          <w:sz w:val="22"/>
          <w:szCs w:val="22"/>
        </w:rPr>
        <w:t>błędy formalne)</w:t>
      </w:r>
    </w:p>
    <w:p w:rsidR="006672EC" w:rsidRDefault="006672EC" w:rsidP="00C43A89">
      <w:pPr>
        <w:pStyle w:val="Nagwek1"/>
        <w:numPr>
          <w:ilvl w:val="1"/>
          <w:numId w:val="1"/>
        </w:num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uwzględnienie w całości lub w części</w:t>
      </w:r>
    </w:p>
    <w:p w:rsidR="006672EC" w:rsidRDefault="006672EC" w:rsidP="006672EC">
      <w:pPr>
        <w:pStyle w:val="Nagwek1"/>
        <w:numPr>
          <w:ilvl w:val="2"/>
          <w:numId w:val="1"/>
        </w:num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w tym </w:t>
      </w:r>
      <w:r w:rsidR="00410731">
        <w:rPr>
          <w:rFonts w:ascii="Arial" w:hAnsi="Arial" w:cs="Arial"/>
          <w:b w:val="0"/>
          <w:sz w:val="22"/>
          <w:szCs w:val="22"/>
        </w:rPr>
        <w:t>(</w:t>
      </w:r>
      <w:r w:rsidR="00C542BA">
        <w:rPr>
          <w:rFonts w:ascii="Arial" w:hAnsi="Arial" w:cs="Arial"/>
          <w:b w:val="0"/>
          <w:sz w:val="22"/>
          <w:szCs w:val="22"/>
        </w:rPr>
        <w:t>na żądanie skarżącego</w:t>
      </w:r>
      <w:r w:rsidR="00410731">
        <w:rPr>
          <w:rFonts w:ascii="Arial" w:hAnsi="Arial" w:cs="Arial"/>
          <w:b w:val="0"/>
          <w:sz w:val="22"/>
          <w:szCs w:val="22"/>
        </w:rPr>
        <w:t>)</w:t>
      </w:r>
      <w:r w:rsidR="00C542BA">
        <w:rPr>
          <w:rFonts w:ascii="Arial" w:hAnsi="Arial" w:cs="Arial"/>
          <w:b w:val="0"/>
          <w:sz w:val="22"/>
          <w:szCs w:val="22"/>
        </w:rPr>
        <w:t xml:space="preserve"> – przez </w:t>
      </w:r>
      <w:r w:rsidR="00410731">
        <w:rPr>
          <w:rFonts w:ascii="Arial" w:hAnsi="Arial" w:cs="Arial"/>
          <w:b w:val="0"/>
          <w:sz w:val="22"/>
          <w:szCs w:val="22"/>
        </w:rPr>
        <w:t>zasądzenie kwoty pienię</w:t>
      </w:r>
      <w:r w:rsidR="00C542BA">
        <w:rPr>
          <w:rFonts w:ascii="Arial" w:hAnsi="Arial" w:cs="Arial"/>
          <w:b w:val="0"/>
          <w:sz w:val="22"/>
          <w:szCs w:val="22"/>
        </w:rPr>
        <w:t>żnej</w:t>
      </w:r>
    </w:p>
    <w:p w:rsidR="009C38E2" w:rsidRPr="009C38E2" w:rsidRDefault="000C0437" w:rsidP="00C542BA">
      <w:pPr>
        <w:pStyle w:val="Nagwek1"/>
        <w:numPr>
          <w:ilvl w:val="0"/>
          <w:numId w:val="1"/>
        </w:numPr>
        <w:jc w:val="both"/>
        <w:rPr>
          <w:rFonts w:ascii="Arial" w:hAnsi="Arial" w:cs="Arial"/>
          <w:b w:val="0"/>
          <w:sz w:val="22"/>
          <w:szCs w:val="22"/>
        </w:rPr>
      </w:pPr>
      <w:r w:rsidRPr="009C38E2">
        <w:rPr>
          <w:rFonts w:ascii="Arial" w:hAnsi="Arial" w:cs="Arial"/>
          <w:b w:val="0"/>
          <w:sz w:val="22"/>
          <w:szCs w:val="22"/>
        </w:rPr>
        <w:t>W przypadku uznania skargi za zasadną, sąd</w:t>
      </w:r>
      <w:r w:rsidRPr="009C38E2">
        <w:rPr>
          <w:rFonts w:ascii="Arial" w:hAnsi="Arial"/>
          <w:bCs w:val="0"/>
          <w:sz w:val="22"/>
          <w:szCs w:val="22"/>
        </w:rPr>
        <w:t xml:space="preserve"> </w:t>
      </w:r>
      <w:r w:rsidRPr="009C38E2">
        <w:rPr>
          <w:rFonts w:ascii="Arial" w:hAnsi="Arial" w:cs="Arial"/>
          <w:b w:val="0"/>
          <w:sz w:val="22"/>
          <w:szCs w:val="22"/>
        </w:rPr>
        <w:t>stwierdza, że w postępowaniu, którego skarga dotyczy nastą</w:t>
      </w:r>
      <w:r w:rsidR="009C38E2">
        <w:rPr>
          <w:rFonts w:ascii="Arial" w:hAnsi="Arial" w:cs="Arial"/>
          <w:b w:val="0"/>
          <w:sz w:val="22"/>
          <w:szCs w:val="22"/>
        </w:rPr>
        <w:t>pi</w:t>
      </w:r>
      <w:r w:rsidR="00325B9C">
        <w:rPr>
          <w:rFonts w:ascii="Arial" w:hAnsi="Arial" w:cs="Arial"/>
          <w:b w:val="0"/>
          <w:sz w:val="22"/>
          <w:szCs w:val="22"/>
        </w:rPr>
        <w:t>ła przewlekłość postępowania i n</w:t>
      </w:r>
      <w:r w:rsidR="009C38E2">
        <w:rPr>
          <w:rFonts w:ascii="Arial" w:hAnsi="Arial" w:cs="Arial"/>
          <w:b w:val="0"/>
          <w:sz w:val="22"/>
          <w:szCs w:val="22"/>
        </w:rPr>
        <w:t xml:space="preserve">a żądanie skarżącego lub </w:t>
      </w:r>
      <w:r w:rsidR="007F0841">
        <w:rPr>
          <w:rFonts w:ascii="Arial" w:hAnsi="Arial" w:cs="Arial"/>
          <w:b w:val="0"/>
          <w:sz w:val="22"/>
          <w:szCs w:val="22"/>
        </w:rPr>
        <w:br/>
      </w:r>
      <w:r w:rsidR="009C38E2">
        <w:rPr>
          <w:rFonts w:ascii="Arial" w:hAnsi="Arial" w:cs="Arial"/>
          <w:b w:val="0"/>
          <w:sz w:val="22"/>
          <w:szCs w:val="22"/>
        </w:rPr>
        <w:t xml:space="preserve">z urzędu </w:t>
      </w:r>
      <w:r w:rsidR="00B908EB">
        <w:rPr>
          <w:rFonts w:ascii="Arial" w:hAnsi="Arial" w:cs="Arial"/>
          <w:b w:val="0"/>
          <w:sz w:val="22"/>
          <w:szCs w:val="22"/>
        </w:rPr>
        <w:t>zaleca podjęcie odpowiednich czynności w wyznaczonym terminie</w:t>
      </w:r>
    </w:p>
    <w:p w:rsidR="00E42343" w:rsidRPr="008F37B2" w:rsidRDefault="0060300C" w:rsidP="008F37B2">
      <w:pPr>
        <w:pStyle w:val="Nagwek1"/>
        <w:numPr>
          <w:ilvl w:val="0"/>
          <w:numId w:val="1"/>
        </w:num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Sąd </w:t>
      </w:r>
      <w:r w:rsidRPr="0060300C">
        <w:rPr>
          <w:rFonts w:ascii="Arial" w:hAnsi="Arial" w:cs="Arial"/>
          <w:b w:val="0"/>
          <w:sz w:val="22"/>
          <w:szCs w:val="22"/>
        </w:rPr>
        <w:t>na żą</w:t>
      </w:r>
      <w:r>
        <w:rPr>
          <w:rFonts w:ascii="Arial" w:hAnsi="Arial" w:cs="Arial"/>
          <w:b w:val="0"/>
          <w:sz w:val="22"/>
          <w:szCs w:val="22"/>
        </w:rPr>
        <w:t>danie skarżącego (nie z urzędu)</w:t>
      </w:r>
      <w:r w:rsidRPr="0060300C">
        <w:rPr>
          <w:rFonts w:ascii="Arial" w:hAnsi="Arial" w:cs="Arial"/>
          <w:b w:val="0"/>
          <w:sz w:val="22"/>
          <w:szCs w:val="22"/>
        </w:rPr>
        <w:t xml:space="preserve"> może przyznać mu od Skarbu Państwa,</w:t>
      </w:r>
      <w:r w:rsidR="007F0841">
        <w:rPr>
          <w:rFonts w:ascii="Arial" w:hAnsi="Arial" w:cs="Arial"/>
          <w:b w:val="0"/>
          <w:sz w:val="22"/>
          <w:szCs w:val="22"/>
        </w:rPr>
        <w:br/>
      </w:r>
      <w:r w:rsidRPr="0060300C">
        <w:rPr>
          <w:rFonts w:ascii="Arial" w:hAnsi="Arial" w:cs="Arial"/>
          <w:b w:val="0"/>
          <w:sz w:val="22"/>
          <w:szCs w:val="22"/>
        </w:rPr>
        <w:t>a w przypadku</w:t>
      </w:r>
      <w:r w:rsidRPr="0060300C">
        <w:rPr>
          <w:rFonts w:cs="Arial"/>
          <w:color w:val="666666"/>
          <w:sz w:val="18"/>
          <w:szCs w:val="18"/>
        </w:rPr>
        <w:t xml:space="preserve"> </w:t>
      </w:r>
      <w:r w:rsidRPr="0060300C">
        <w:rPr>
          <w:rFonts w:ascii="Arial" w:hAnsi="Arial" w:cs="Arial"/>
          <w:b w:val="0"/>
          <w:sz w:val="22"/>
          <w:szCs w:val="22"/>
        </w:rPr>
        <w:t>skargi na przewlekłość postępowania prowadzonego przez komornika - od komornika, sumę pienię</w:t>
      </w:r>
      <w:r w:rsidR="009C38E2">
        <w:rPr>
          <w:rFonts w:ascii="Arial" w:hAnsi="Arial" w:cs="Arial"/>
          <w:b w:val="0"/>
          <w:sz w:val="22"/>
          <w:szCs w:val="22"/>
        </w:rPr>
        <w:t>żną w wysokości od 2</w:t>
      </w:r>
      <w:r w:rsidR="007F0841">
        <w:rPr>
          <w:rFonts w:ascii="Arial" w:hAnsi="Arial" w:cs="Arial"/>
          <w:b w:val="0"/>
          <w:sz w:val="22"/>
          <w:szCs w:val="22"/>
        </w:rPr>
        <w:t>.000 zł. do 20.000 zł</w:t>
      </w:r>
    </w:p>
    <w:p w:rsidR="009C38E2" w:rsidRDefault="00325B9C" w:rsidP="00C542BA">
      <w:pPr>
        <w:pStyle w:val="Nagwek1"/>
        <w:numPr>
          <w:ilvl w:val="0"/>
          <w:numId w:val="1"/>
        </w:num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Wniesienie skargi</w:t>
      </w:r>
      <w:r w:rsidR="00E42343">
        <w:rPr>
          <w:rFonts w:ascii="Arial" w:hAnsi="Arial" w:cs="Arial"/>
          <w:b w:val="0"/>
          <w:sz w:val="22"/>
          <w:szCs w:val="22"/>
        </w:rPr>
        <w:t xml:space="preserve"> podlega opłacie 100 zł - zwracanej w przypadku uwzględnienia lub odrzucenia skargi</w:t>
      </w:r>
    </w:p>
    <w:p w:rsidR="00D73E73" w:rsidRDefault="00D73E73" w:rsidP="00D73E73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</w:p>
    <w:p w:rsidR="008F4F80" w:rsidRPr="00497820" w:rsidRDefault="008F4F80" w:rsidP="00F005F5">
      <w:pPr>
        <w:pStyle w:val="Nagwek1"/>
        <w:numPr>
          <w:ilvl w:val="0"/>
          <w:numId w:val="2"/>
        </w:numPr>
        <w:jc w:val="both"/>
        <w:rPr>
          <w:rFonts w:ascii="Arial" w:hAnsi="Arial" w:cs="Arial"/>
          <w:sz w:val="28"/>
          <w:szCs w:val="28"/>
        </w:rPr>
      </w:pPr>
      <w:r w:rsidRPr="00497820">
        <w:rPr>
          <w:rFonts w:ascii="Arial" w:hAnsi="Arial" w:cs="Arial"/>
          <w:sz w:val="28"/>
          <w:szCs w:val="28"/>
        </w:rPr>
        <w:lastRenderedPageBreak/>
        <w:t>Skargi na postępowanie karne</w:t>
      </w:r>
    </w:p>
    <w:p w:rsidR="0094746B" w:rsidRPr="00C33390" w:rsidRDefault="0094746B" w:rsidP="0094746B">
      <w:pPr>
        <w:pStyle w:val="Nagwek1"/>
        <w:jc w:val="both"/>
        <w:rPr>
          <w:rFonts w:ascii="Arial" w:hAnsi="Arial" w:cs="Arial"/>
          <w:sz w:val="24"/>
          <w:szCs w:val="24"/>
        </w:rPr>
      </w:pPr>
    </w:p>
    <w:p w:rsidR="00F54264" w:rsidRPr="00B4568D" w:rsidRDefault="00F54264" w:rsidP="00F54264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Tabl. 1. Ewidencja skarg na </w:t>
      </w:r>
      <w:r w:rsidRPr="00B4568D">
        <w:rPr>
          <w:rFonts w:ascii="Arial" w:hAnsi="Arial" w:cs="Arial"/>
          <w:b w:val="0"/>
          <w:sz w:val="22"/>
          <w:szCs w:val="22"/>
        </w:rPr>
        <w:t xml:space="preserve">przewlekłość postępowania </w:t>
      </w:r>
      <w:r>
        <w:rPr>
          <w:rFonts w:ascii="Arial" w:hAnsi="Arial" w:cs="Arial"/>
          <w:b w:val="0"/>
          <w:sz w:val="22"/>
          <w:szCs w:val="22"/>
        </w:rPr>
        <w:t xml:space="preserve">karnego sądowego </w:t>
      </w:r>
      <w:r>
        <w:rPr>
          <w:rFonts w:ascii="Arial" w:hAnsi="Arial" w:cs="Arial"/>
          <w:b w:val="0"/>
          <w:sz w:val="22"/>
          <w:szCs w:val="22"/>
        </w:rPr>
        <w:br/>
        <w:t>i prokuratorskiego w latach 2009-2013 (sądy apelacyjne i okręgowe łącznie)</w:t>
      </w:r>
    </w:p>
    <w:p w:rsidR="008F4F80" w:rsidRDefault="008F4F80" w:rsidP="00D73E73">
      <w:pPr>
        <w:pStyle w:val="Nagwek1"/>
        <w:jc w:val="both"/>
        <w:rPr>
          <w:rFonts w:ascii="Arial" w:hAnsi="Arial" w:cs="Arial"/>
          <w:sz w:val="22"/>
          <w:szCs w:val="22"/>
        </w:rPr>
      </w:pPr>
    </w:p>
    <w:tbl>
      <w:tblPr>
        <w:tblW w:w="960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4"/>
        <w:gridCol w:w="1056"/>
        <w:gridCol w:w="913"/>
        <w:gridCol w:w="1071"/>
        <w:gridCol w:w="1183"/>
        <w:gridCol w:w="6"/>
        <w:gridCol w:w="938"/>
        <w:gridCol w:w="44"/>
        <w:gridCol w:w="33"/>
        <w:gridCol w:w="915"/>
        <w:gridCol w:w="1319"/>
        <w:gridCol w:w="1184"/>
      </w:tblGrid>
      <w:tr w:rsidR="00536163" w:rsidRPr="00F54264" w:rsidTr="00D63475">
        <w:trPr>
          <w:trHeight w:val="405"/>
        </w:trPr>
        <w:tc>
          <w:tcPr>
            <w:tcW w:w="944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264" w:rsidRPr="00F54264" w:rsidRDefault="00F54264" w:rsidP="00F542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Lata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264" w:rsidRPr="00F54264" w:rsidRDefault="00F54264" w:rsidP="00F542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Wpłynęło</w:t>
            </w:r>
          </w:p>
        </w:tc>
        <w:tc>
          <w:tcPr>
            <w:tcW w:w="510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264" w:rsidRPr="00F54264" w:rsidRDefault="00F54264" w:rsidP="00F542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Załatwiono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264" w:rsidRPr="00F54264" w:rsidRDefault="00F54264" w:rsidP="00F542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 xml:space="preserve">Ogólna kwota zasądzonych odszkodowań </w:t>
            </w:r>
            <w:r w:rsidR="005021E9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br/>
            </w:r>
            <w:r w:rsidRPr="00F54264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(w zł.)</w:t>
            </w:r>
          </w:p>
        </w:tc>
        <w:tc>
          <w:tcPr>
            <w:tcW w:w="1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54264" w:rsidRPr="00F54264" w:rsidRDefault="00F54264" w:rsidP="00F542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Średnia wartość odszkodowania na sprawę</w:t>
            </w:r>
          </w:p>
        </w:tc>
      </w:tr>
      <w:tr w:rsidR="00491914" w:rsidRPr="00F54264" w:rsidTr="00D63475">
        <w:trPr>
          <w:trHeight w:val="405"/>
        </w:trPr>
        <w:tc>
          <w:tcPr>
            <w:tcW w:w="944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ogółem</w:t>
            </w:r>
          </w:p>
        </w:tc>
        <w:tc>
          <w:tcPr>
            <w:tcW w:w="2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uwzględniono w całości lub w części</w:t>
            </w:r>
          </w:p>
        </w:tc>
        <w:tc>
          <w:tcPr>
            <w:tcW w:w="9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oddalono</w:t>
            </w:r>
          </w:p>
        </w:tc>
        <w:tc>
          <w:tcPr>
            <w:tcW w:w="99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914" w:rsidRPr="00F54264" w:rsidRDefault="00491914" w:rsidP="00F542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odrzucono</w:t>
            </w: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91914" w:rsidRPr="00F54264" w:rsidTr="00D63475">
        <w:trPr>
          <w:trHeight w:val="630"/>
        </w:trPr>
        <w:tc>
          <w:tcPr>
            <w:tcW w:w="9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w tym przez zasądzenie kwoty pieniężnej</w:t>
            </w: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914" w:rsidRPr="00F54264" w:rsidRDefault="00491914" w:rsidP="00F542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54264" w:rsidRPr="00233846" w:rsidTr="00D63475">
        <w:trPr>
          <w:trHeight w:val="628"/>
        </w:trPr>
        <w:tc>
          <w:tcPr>
            <w:tcW w:w="960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4264" w:rsidRPr="00233846" w:rsidRDefault="00F54264" w:rsidP="005021E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3384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postępowanie </w:t>
            </w:r>
            <w:r w:rsidR="00801C6F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prokuratorskie</w:t>
            </w:r>
            <w:r w:rsidR="005021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i sądowe</w:t>
            </w:r>
            <w:r w:rsidRPr="0023384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łącznie</w:t>
            </w:r>
          </w:p>
        </w:tc>
      </w:tr>
      <w:tr w:rsidR="00491914" w:rsidRPr="00F54264" w:rsidTr="00D63475">
        <w:trPr>
          <w:trHeight w:val="409"/>
        </w:trPr>
        <w:tc>
          <w:tcPr>
            <w:tcW w:w="94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2009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1 445</w:t>
            </w:r>
          </w:p>
        </w:tc>
        <w:tc>
          <w:tcPr>
            <w:tcW w:w="91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1 339</w:t>
            </w:r>
          </w:p>
        </w:tc>
        <w:tc>
          <w:tcPr>
            <w:tcW w:w="107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235</w:t>
            </w:r>
          </w:p>
        </w:tc>
        <w:tc>
          <w:tcPr>
            <w:tcW w:w="118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197</w:t>
            </w:r>
          </w:p>
        </w:tc>
        <w:tc>
          <w:tcPr>
            <w:tcW w:w="1021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49191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461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491914" w:rsidRPr="00F54264" w:rsidRDefault="00F507E6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209</w:t>
            </w:r>
          </w:p>
        </w:tc>
        <w:tc>
          <w:tcPr>
            <w:tcW w:w="131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622 500</w:t>
            </w:r>
          </w:p>
        </w:tc>
        <w:tc>
          <w:tcPr>
            <w:tcW w:w="1184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3 159,90</w:t>
            </w:r>
          </w:p>
        </w:tc>
      </w:tr>
      <w:tr w:rsidR="00491914" w:rsidRPr="00F54264" w:rsidTr="00D63475">
        <w:trPr>
          <w:trHeight w:val="409"/>
        </w:trPr>
        <w:tc>
          <w:tcPr>
            <w:tcW w:w="94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2010</w:t>
            </w:r>
          </w:p>
        </w:tc>
        <w:tc>
          <w:tcPr>
            <w:tcW w:w="1056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2 188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2 119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345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326</w:t>
            </w:r>
          </w:p>
        </w:tc>
        <w:tc>
          <w:tcPr>
            <w:tcW w:w="1021" w:type="dxa"/>
            <w:gridSpan w:val="4"/>
            <w:shd w:val="clear" w:color="auto" w:fill="auto"/>
            <w:vAlign w:val="center"/>
            <w:hideMark/>
          </w:tcPr>
          <w:p w:rsidR="00491914" w:rsidRPr="00F54264" w:rsidRDefault="00491914" w:rsidP="0049191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763</w:t>
            </w:r>
          </w:p>
        </w:tc>
        <w:tc>
          <w:tcPr>
            <w:tcW w:w="915" w:type="dxa"/>
            <w:tcBorders>
              <w:left w:val="nil"/>
            </w:tcBorders>
            <w:shd w:val="clear" w:color="auto" w:fill="auto"/>
            <w:vAlign w:val="center"/>
          </w:tcPr>
          <w:p w:rsidR="00491914" w:rsidRPr="00F54264" w:rsidRDefault="00F507E6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268</w:t>
            </w:r>
          </w:p>
        </w:tc>
        <w:tc>
          <w:tcPr>
            <w:tcW w:w="1319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1 141 100</w:t>
            </w:r>
          </w:p>
        </w:tc>
        <w:tc>
          <w:tcPr>
            <w:tcW w:w="1184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3 500,31</w:t>
            </w:r>
          </w:p>
        </w:tc>
      </w:tr>
      <w:tr w:rsidR="00491914" w:rsidRPr="00F54264" w:rsidTr="00D63475">
        <w:trPr>
          <w:trHeight w:val="409"/>
        </w:trPr>
        <w:tc>
          <w:tcPr>
            <w:tcW w:w="94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2011</w:t>
            </w:r>
          </w:p>
        </w:tc>
        <w:tc>
          <w:tcPr>
            <w:tcW w:w="1056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2 130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2 162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343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330</w:t>
            </w:r>
          </w:p>
        </w:tc>
        <w:tc>
          <w:tcPr>
            <w:tcW w:w="1021" w:type="dxa"/>
            <w:gridSpan w:val="4"/>
            <w:shd w:val="clear" w:color="auto" w:fill="auto"/>
            <w:vAlign w:val="center"/>
            <w:hideMark/>
          </w:tcPr>
          <w:p w:rsidR="00491914" w:rsidRPr="00F54264" w:rsidRDefault="00491914" w:rsidP="0049191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764</w:t>
            </w:r>
          </w:p>
        </w:tc>
        <w:tc>
          <w:tcPr>
            <w:tcW w:w="915" w:type="dxa"/>
            <w:tcBorders>
              <w:left w:val="nil"/>
            </w:tcBorders>
            <w:shd w:val="clear" w:color="auto" w:fill="auto"/>
            <w:vAlign w:val="center"/>
          </w:tcPr>
          <w:p w:rsidR="00491914" w:rsidRPr="00F54264" w:rsidRDefault="00F507E6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271</w:t>
            </w:r>
          </w:p>
        </w:tc>
        <w:tc>
          <w:tcPr>
            <w:tcW w:w="1319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1 154 100</w:t>
            </w:r>
          </w:p>
        </w:tc>
        <w:tc>
          <w:tcPr>
            <w:tcW w:w="1184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3 497,27</w:t>
            </w:r>
          </w:p>
        </w:tc>
      </w:tr>
      <w:tr w:rsidR="00491914" w:rsidRPr="00F54264" w:rsidTr="00D63475">
        <w:trPr>
          <w:trHeight w:val="409"/>
        </w:trPr>
        <w:tc>
          <w:tcPr>
            <w:tcW w:w="94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2012</w:t>
            </w:r>
          </w:p>
        </w:tc>
        <w:tc>
          <w:tcPr>
            <w:tcW w:w="1056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2 211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2 226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328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317</w:t>
            </w:r>
          </w:p>
        </w:tc>
        <w:tc>
          <w:tcPr>
            <w:tcW w:w="1021" w:type="dxa"/>
            <w:gridSpan w:val="4"/>
            <w:shd w:val="clear" w:color="auto" w:fill="auto"/>
            <w:vAlign w:val="center"/>
            <w:hideMark/>
          </w:tcPr>
          <w:p w:rsidR="00491914" w:rsidRPr="00F54264" w:rsidRDefault="00491914" w:rsidP="0049191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833</w:t>
            </w:r>
          </w:p>
        </w:tc>
        <w:tc>
          <w:tcPr>
            <w:tcW w:w="915" w:type="dxa"/>
            <w:tcBorders>
              <w:left w:val="nil"/>
            </w:tcBorders>
            <w:shd w:val="clear" w:color="auto" w:fill="auto"/>
            <w:vAlign w:val="center"/>
          </w:tcPr>
          <w:p w:rsidR="00491914" w:rsidRPr="00F54264" w:rsidRDefault="00F507E6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282</w:t>
            </w:r>
          </w:p>
        </w:tc>
        <w:tc>
          <w:tcPr>
            <w:tcW w:w="1319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1 050 000</w:t>
            </w:r>
          </w:p>
        </w:tc>
        <w:tc>
          <w:tcPr>
            <w:tcW w:w="1184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3 312,30</w:t>
            </w:r>
          </w:p>
        </w:tc>
      </w:tr>
      <w:tr w:rsidR="00491914" w:rsidRPr="00F54264" w:rsidTr="00D63475">
        <w:trPr>
          <w:trHeight w:val="409"/>
        </w:trPr>
        <w:tc>
          <w:tcPr>
            <w:tcW w:w="94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2013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2 581</w:t>
            </w:r>
          </w:p>
        </w:tc>
        <w:tc>
          <w:tcPr>
            <w:tcW w:w="91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2 548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426</w:t>
            </w:r>
          </w:p>
        </w:tc>
        <w:tc>
          <w:tcPr>
            <w:tcW w:w="118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413</w:t>
            </w:r>
          </w:p>
        </w:tc>
        <w:tc>
          <w:tcPr>
            <w:tcW w:w="1021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49191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918</w:t>
            </w:r>
          </w:p>
        </w:tc>
        <w:tc>
          <w:tcPr>
            <w:tcW w:w="915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491914" w:rsidRPr="00F54264" w:rsidRDefault="00F507E6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322</w:t>
            </w:r>
          </w:p>
        </w:tc>
        <w:tc>
          <w:tcPr>
            <w:tcW w:w="1319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1 324 000</w:t>
            </w:r>
          </w:p>
        </w:tc>
        <w:tc>
          <w:tcPr>
            <w:tcW w:w="118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3 205,81</w:t>
            </w:r>
          </w:p>
        </w:tc>
      </w:tr>
      <w:tr w:rsidR="00F54264" w:rsidRPr="00233846" w:rsidTr="00D63475">
        <w:trPr>
          <w:trHeight w:val="409"/>
        </w:trPr>
        <w:tc>
          <w:tcPr>
            <w:tcW w:w="9606" w:type="dxa"/>
            <w:gridSpan w:val="1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54264" w:rsidRPr="00233846" w:rsidRDefault="00F54264" w:rsidP="005021E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3384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postępowanie p</w:t>
            </w:r>
            <w:r w:rsidR="005021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rokuratorskie</w:t>
            </w:r>
          </w:p>
        </w:tc>
      </w:tr>
      <w:tr w:rsidR="00491914" w:rsidRPr="00F54264" w:rsidTr="00D63475">
        <w:trPr>
          <w:trHeight w:val="409"/>
        </w:trPr>
        <w:tc>
          <w:tcPr>
            <w:tcW w:w="94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2009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397</w:t>
            </w:r>
          </w:p>
        </w:tc>
        <w:tc>
          <w:tcPr>
            <w:tcW w:w="91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352</w:t>
            </w:r>
          </w:p>
        </w:tc>
        <w:tc>
          <w:tcPr>
            <w:tcW w:w="107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18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988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49191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119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491914" w:rsidRPr="00F54264" w:rsidRDefault="008578CF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31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198 500</w:t>
            </w:r>
          </w:p>
        </w:tc>
        <w:tc>
          <w:tcPr>
            <w:tcW w:w="1184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4 841,46</w:t>
            </w:r>
          </w:p>
        </w:tc>
      </w:tr>
      <w:tr w:rsidR="00491914" w:rsidRPr="00F54264" w:rsidTr="00D63475">
        <w:trPr>
          <w:trHeight w:val="409"/>
        </w:trPr>
        <w:tc>
          <w:tcPr>
            <w:tcW w:w="94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2010</w:t>
            </w:r>
          </w:p>
        </w:tc>
        <w:tc>
          <w:tcPr>
            <w:tcW w:w="1056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554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553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988" w:type="dxa"/>
            <w:gridSpan w:val="3"/>
            <w:shd w:val="clear" w:color="auto" w:fill="auto"/>
            <w:vAlign w:val="center"/>
            <w:hideMark/>
          </w:tcPr>
          <w:p w:rsidR="00491914" w:rsidRPr="00F54264" w:rsidRDefault="00491914" w:rsidP="0049191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212</w:t>
            </w:r>
          </w:p>
        </w:tc>
        <w:tc>
          <w:tcPr>
            <w:tcW w:w="948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491914" w:rsidRPr="00F54264" w:rsidRDefault="008578CF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1319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185 100</w:t>
            </w:r>
          </w:p>
        </w:tc>
        <w:tc>
          <w:tcPr>
            <w:tcW w:w="1184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4 206,82</w:t>
            </w:r>
          </w:p>
        </w:tc>
      </w:tr>
      <w:tr w:rsidR="00491914" w:rsidRPr="00F54264" w:rsidTr="00D63475">
        <w:trPr>
          <w:trHeight w:val="409"/>
        </w:trPr>
        <w:tc>
          <w:tcPr>
            <w:tcW w:w="94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2011</w:t>
            </w:r>
          </w:p>
        </w:tc>
        <w:tc>
          <w:tcPr>
            <w:tcW w:w="1056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557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560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988" w:type="dxa"/>
            <w:gridSpan w:val="3"/>
            <w:shd w:val="clear" w:color="auto" w:fill="auto"/>
            <w:vAlign w:val="center"/>
            <w:hideMark/>
          </w:tcPr>
          <w:p w:rsidR="00491914" w:rsidRPr="00F54264" w:rsidRDefault="00491914" w:rsidP="0049191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175</w:t>
            </w:r>
          </w:p>
        </w:tc>
        <w:tc>
          <w:tcPr>
            <w:tcW w:w="948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491914" w:rsidRPr="00F54264" w:rsidRDefault="008578CF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1319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195 600</w:t>
            </w:r>
          </w:p>
        </w:tc>
        <w:tc>
          <w:tcPr>
            <w:tcW w:w="1184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3 556,36</w:t>
            </w:r>
          </w:p>
        </w:tc>
      </w:tr>
      <w:tr w:rsidR="00491914" w:rsidRPr="00F54264" w:rsidTr="00D63475">
        <w:trPr>
          <w:trHeight w:val="409"/>
        </w:trPr>
        <w:tc>
          <w:tcPr>
            <w:tcW w:w="94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2012</w:t>
            </w:r>
          </w:p>
        </w:tc>
        <w:tc>
          <w:tcPr>
            <w:tcW w:w="1056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526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530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988" w:type="dxa"/>
            <w:gridSpan w:val="3"/>
            <w:shd w:val="clear" w:color="auto" w:fill="auto"/>
            <w:vAlign w:val="center"/>
            <w:hideMark/>
          </w:tcPr>
          <w:p w:rsidR="00491914" w:rsidRPr="00F54264" w:rsidRDefault="00491914" w:rsidP="0049191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164</w:t>
            </w:r>
          </w:p>
        </w:tc>
        <w:tc>
          <w:tcPr>
            <w:tcW w:w="948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491914" w:rsidRPr="00F54264" w:rsidRDefault="008578CF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1319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168 000</w:t>
            </w:r>
          </w:p>
        </w:tc>
        <w:tc>
          <w:tcPr>
            <w:tcW w:w="1184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3 818,18</w:t>
            </w:r>
          </w:p>
        </w:tc>
      </w:tr>
      <w:tr w:rsidR="00491914" w:rsidRPr="00F54264" w:rsidTr="00D63475">
        <w:trPr>
          <w:trHeight w:val="409"/>
        </w:trPr>
        <w:tc>
          <w:tcPr>
            <w:tcW w:w="94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2013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627</w:t>
            </w:r>
          </w:p>
        </w:tc>
        <w:tc>
          <w:tcPr>
            <w:tcW w:w="91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614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118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98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49191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190</w:t>
            </w:r>
          </w:p>
        </w:tc>
        <w:tc>
          <w:tcPr>
            <w:tcW w:w="948" w:type="dxa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491914" w:rsidRPr="00F54264" w:rsidRDefault="008578CF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1319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200 000</w:t>
            </w:r>
          </w:p>
        </w:tc>
        <w:tc>
          <w:tcPr>
            <w:tcW w:w="118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3 921,57</w:t>
            </w:r>
          </w:p>
        </w:tc>
      </w:tr>
      <w:tr w:rsidR="00F54264" w:rsidRPr="00233846" w:rsidTr="00D63475">
        <w:trPr>
          <w:trHeight w:val="409"/>
        </w:trPr>
        <w:tc>
          <w:tcPr>
            <w:tcW w:w="9606" w:type="dxa"/>
            <w:gridSpan w:val="1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54264" w:rsidRPr="00233846" w:rsidRDefault="00F54264" w:rsidP="00F542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3384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postępowanie sądowe</w:t>
            </w:r>
          </w:p>
        </w:tc>
      </w:tr>
      <w:tr w:rsidR="00491914" w:rsidRPr="00F54264" w:rsidTr="00D63475">
        <w:trPr>
          <w:trHeight w:val="409"/>
        </w:trPr>
        <w:tc>
          <w:tcPr>
            <w:tcW w:w="94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2009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1 048</w:t>
            </w:r>
          </w:p>
        </w:tc>
        <w:tc>
          <w:tcPr>
            <w:tcW w:w="91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987</w:t>
            </w:r>
          </w:p>
        </w:tc>
        <w:tc>
          <w:tcPr>
            <w:tcW w:w="107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187</w:t>
            </w:r>
          </w:p>
        </w:tc>
        <w:tc>
          <w:tcPr>
            <w:tcW w:w="118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156</w:t>
            </w:r>
          </w:p>
        </w:tc>
        <w:tc>
          <w:tcPr>
            <w:tcW w:w="988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49191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342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491914" w:rsidRPr="00F54264" w:rsidRDefault="008578CF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148</w:t>
            </w:r>
          </w:p>
        </w:tc>
        <w:tc>
          <w:tcPr>
            <w:tcW w:w="131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424 000</w:t>
            </w:r>
          </w:p>
        </w:tc>
        <w:tc>
          <w:tcPr>
            <w:tcW w:w="1184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2 717,95</w:t>
            </w:r>
          </w:p>
        </w:tc>
      </w:tr>
      <w:tr w:rsidR="00491914" w:rsidRPr="00F54264" w:rsidTr="00D63475">
        <w:trPr>
          <w:trHeight w:val="409"/>
        </w:trPr>
        <w:tc>
          <w:tcPr>
            <w:tcW w:w="94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2010</w:t>
            </w:r>
          </w:p>
        </w:tc>
        <w:tc>
          <w:tcPr>
            <w:tcW w:w="1056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1 634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1 566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297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282</w:t>
            </w:r>
          </w:p>
        </w:tc>
        <w:tc>
          <w:tcPr>
            <w:tcW w:w="988" w:type="dxa"/>
            <w:gridSpan w:val="3"/>
            <w:shd w:val="clear" w:color="auto" w:fill="auto"/>
            <w:vAlign w:val="center"/>
            <w:hideMark/>
          </w:tcPr>
          <w:p w:rsidR="00491914" w:rsidRPr="00F54264" w:rsidRDefault="00491914" w:rsidP="0049191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551</w:t>
            </w:r>
          </w:p>
        </w:tc>
        <w:tc>
          <w:tcPr>
            <w:tcW w:w="948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491914" w:rsidRPr="00F54264" w:rsidRDefault="008E4A5F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177</w:t>
            </w:r>
          </w:p>
        </w:tc>
        <w:tc>
          <w:tcPr>
            <w:tcW w:w="1319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956 000</w:t>
            </w:r>
          </w:p>
        </w:tc>
        <w:tc>
          <w:tcPr>
            <w:tcW w:w="1184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3 390,07</w:t>
            </w:r>
          </w:p>
        </w:tc>
      </w:tr>
      <w:tr w:rsidR="00491914" w:rsidRPr="00F54264" w:rsidTr="00D63475">
        <w:trPr>
          <w:trHeight w:val="409"/>
        </w:trPr>
        <w:tc>
          <w:tcPr>
            <w:tcW w:w="94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2011</w:t>
            </w:r>
          </w:p>
        </w:tc>
        <w:tc>
          <w:tcPr>
            <w:tcW w:w="1056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1 572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1 602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284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275</w:t>
            </w:r>
          </w:p>
        </w:tc>
        <w:tc>
          <w:tcPr>
            <w:tcW w:w="988" w:type="dxa"/>
            <w:gridSpan w:val="3"/>
            <w:shd w:val="clear" w:color="auto" w:fill="auto"/>
            <w:vAlign w:val="center"/>
            <w:hideMark/>
          </w:tcPr>
          <w:p w:rsidR="00491914" w:rsidRPr="00F54264" w:rsidRDefault="00491914" w:rsidP="0049191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589</w:t>
            </w:r>
          </w:p>
        </w:tc>
        <w:tc>
          <w:tcPr>
            <w:tcW w:w="948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491914" w:rsidRPr="00F54264" w:rsidRDefault="008E4A5F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188</w:t>
            </w:r>
          </w:p>
        </w:tc>
        <w:tc>
          <w:tcPr>
            <w:tcW w:w="1319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958 500</w:t>
            </w:r>
          </w:p>
        </w:tc>
        <w:tc>
          <w:tcPr>
            <w:tcW w:w="1184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3 485,45</w:t>
            </w:r>
          </w:p>
        </w:tc>
      </w:tr>
      <w:tr w:rsidR="00491914" w:rsidRPr="00F54264" w:rsidTr="00D63475">
        <w:trPr>
          <w:trHeight w:val="409"/>
        </w:trPr>
        <w:tc>
          <w:tcPr>
            <w:tcW w:w="94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2012</w:t>
            </w:r>
          </w:p>
        </w:tc>
        <w:tc>
          <w:tcPr>
            <w:tcW w:w="1056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1 685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1 696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283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273</w:t>
            </w:r>
          </w:p>
        </w:tc>
        <w:tc>
          <w:tcPr>
            <w:tcW w:w="988" w:type="dxa"/>
            <w:gridSpan w:val="3"/>
            <w:shd w:val="clear" w:color="auto" w:fill="auto"/>
            <w:vAlign w:val="center"/>
            <w:hideMark/>
          </w:tcPr>
          <w:p w:rsidR="00491914" w:rsidRPr="00F54264" w:rsidRDefault="00491914" w:rsidP="0049191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669</w:t>
            </w:r>
          </w:p>
        </w:tc>
        <w:tc>
          <w:tcPr>
            <w:tcW w:w="948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491914" w:rsidRPr="00F54264" w:rsidRDefault="008E4A5F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213</w:t>
            </w:r>
          </w:p>
        </w:tc>
        <w:tc>
          <w:tcPr>
            <w:tcW w:w="1319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882 000</w:t>
            </w:r>
          </w:p>
        </w:tc>
        <w:tc>
          <w:tcPr>
            <w:tcW w:w="1184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3 230,77</w:t>
            </w:r>
          </w:p>
        </w:tc>
      </w:tr>
      <w:tr w:rsidR="00491914" w:rsidRPr="00F54264" w:rsidTr="00D63475">
        <w:trPr>
          <w:trHeight w:val="409"/>
        </w:trPr>
        <w:tc>
          <w:tcPr>
            <w:tcW w:w="94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2013</w:t>
            </w:r>
          </w:p>
        </w:tc>
        <w:tc>
          <w:tcPr>
            <w:tcW w:w="1056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1 954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1 934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371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362</w:t>
            </w:r>
          </w:p>
        </w:tc>
        <w:tc>
          <w:tcPr>
            <w:tcW w:w="988" w:type="dxa"/>
            <w:gridSpan w:val="3"/>
            <w:shd w:val="clear" w:color="auto" w:fill="auto"/>
            <w:vAlign w:val="center"/>
            <w:hideMark/>
          </w:tcPr>
          <w:p w:rsidR="00491914" w:rsidRPr="00F54264" w:rsidRDefault="00491914" w:rsidP="0049191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728</w:t>
            </w:r>
          </w:p>
        </w:tc>
        <w:tc>
          <w:tcPr>
            <w:tcW w:w="948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491914" w:rsidRPr="00F54264" w:rsidRDefault="008E4A5F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228</w:t>
            </w:r>
          </w:p>
        </w:tc>
        <w:tc>
          <w:tcPr>
            <w:tcW w:w="1319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1 124 000</w:t>
            </w:r>
          </w:p>
        </w:tc>
        <w:tc>
          <w:tcPr>
            <w:tcW w:w="1184" w:type="dxa"/>
            <w:shd w:val="clear" w:color="auto" w:fill="auto"/>
            <w:vAlign w:val="center"/>
            <w:hideMark/>
          </w:tcPr>
          <w:p w:rsidR="00491914" w:rsidRPr="00F54264" w:rsidRDefault="00491914" w:rsidP="00F542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5426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3 104,97</w:t>
            </w:r>
          </w:p>
        </w:tc>
      </w:tr>
    </w:tbl>
    <w:p w:rsidR="00106F45" w:rsidRDefault="00106F45" w:rsidP="00D73E73">
      <w:pPr>
        <w:pStyle w:val="Nagwek1"/>
        <w:jc w:val="both"/>
        <w:rPr>
          <w:rFonts w:ascii="Arial" w:hAnsi="Arial" w:cs="Arial"/>
          <w:sz w:val="22"/>
          <w:szCs w:val="22"/>
        </w:rPr>
      </w:pPr>
    </w:p>
    <w:p w:rsidR="00F005F5" w:rsidRDefault="00F005F5" w:rsidP="00D73E73">
      <w:pPr>
        <w:pStyle w:val="Nagwek1"/>
        <w:jc w:val="both"/>
        <w:rPr>
          <w:rFonts w:ascii="Arial" w:hAnsi="Arial" w:cs="Arial"/>
          <w:sz w:val="22"/>
          <w:szCs w:val="22"/>
        </w:rPr>
      </w:pPr>
    </w:p>
    <w:p w:rsidR="00F005F5" w:rsidRDefault="00F005F5" w:rsidP="00D73E73">
      <w:pPr>
        <w:pStyle w:val="Nagwek1"/>
        <w:jc w:val="both"/>
        <w:rPr>
          <w:rFonts w:ascii="Arial" w:hAnsi="Arial" w:cs="Arial"/>
          <w:sz w:val="22"/>
          <w:szCs w:val="22"/>
        </w:rPr>
      </w:pPr>
    </w:p>
    <w:p w:rsidR="00F005F5" w:rsidRDefault="00F005F5" w:rsidP="00D73E73">
      <w:pPr>
        <w:pStyle w:val="Nagwek1"/>
        <w:jc w:val="both"/>
        <w:rPr>
          <w:rFonts w:ascii="Arial" w:hAnsi="Arial" w:cs="Arial"/>
          <w:sz w:val="22"/>
          <w:szCs w:val="22"/>
        </w:rPr>
      </w:pPr>
    </w:p>
    <w:p w:rsidR="00F005F5" w:rsidRDefault="00EE4F3D" w:rsidP="00D73E73">
      <w:pPr>
        <w:pStyle w:val="Nagwek1"/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7E4871B5" wp14:editId="5FF43602">
            <wp:extent cx="5760720" cy="3495948"/>
            <wp:effectExtent l="0" t="0" r="11430" b="9525"/>
            <wp:docPr id="11" name="Wykres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9545A" w:rsidRDefault="0069545A" w:rsidP="00D73E73">
      <w:pPr>
        <w:pStyle w:val="Nagwek1"/>
        <w:jc w:val="both"/>
        <w:rPr>
          <w:rFonts w:ascii="Arial" w:hAnsi="Arial" w:cs="Arial"/>
          <w:sz w:val="22"/>
          <w:szCs w:val="22"/>
        </w:rPr>
      </w:pPr>
    </w:p>
    <w:p w:rsidR="00F005F5" w:rsidRDefault="0069545A" w:rsidP="00D73E73">
      <w:pPr>
        <w:pStyle w:val="Nagwek1"/>
        <w:jc w:val="both"/>
        <w:rPr>
          <w:noProof/>
        </w:rPr>
      </w:pPr>
      <w:r>
        <w:rPr>
          <w:noProof/>
        </w:rPr>
        <w:drawing>
          <wp:inline distT="0" distB="0" distL="0" distR="0" wp14:anchorId="745415A3" wp14:editId="19100024">
            <wp:extent cx="2819401" cy="4357689"/>
            <wp:effectExtent l="0" t="0" r="19050" b="24130"/>
            <wp:docPr id="12" name="Wykres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Pr="0069545A">
        <w:rPr>
          <w:noProof/>
        </w:rPr>
        <w:t xml:space="preserve"> </w:t>
      </w:r>
      <w:r>
        <w:rPr>
          <w:noProof/>
        </w:rPr>
        <w:drawing>
          <wp:inline distT="0" distB="0" distL="0" distR="0" wp14:anchorId="542412FA" wp14:editId="12D8435B">
            <wp:extent cx="2819401" cy="4357689"/>
            <wp:effectExtent l="0" t="0" r="19050" b="24130"/>
            <wp:docPr id="13" name="Wykres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981133" w:rsidRDefault="00561A43" w:rsidP="00D73E73">
      <w:pPr>
        <w:pStyle w:val="Nagwek1"/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6BB4067C" wp14:editId="184EE19B">
            <wp:extent cx="5760720" cy="3400885"/>
            <wp:effectExtent l="0" t="0" r="11430" b="9525"/>
            <wp:docPr id="14" name="Wykres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561A43" w:rsidRDefault="00561A43" w:rsidP="00D73E73">
      <w:pPr>
        <w:pStyle w:val="Nagwek1"/>
        <w:jc w:val="both"/>
        <w:rPr>
          <w:rFonts w:ascii="Arial" w:hAnsi="Arial" w:cs="Arial"/>
          <w:sz w:val="22"/>
          <w:szCs w:val="22"/>
        </w:rPr>
      </w:pPr>
    </w:p>
    <w:p w:rsidR="00561A43" w:rsidRDefault="00561A43" w:rsidP="00D73E73">
      <w:pPr>
        <w:pStyle w:val="Nagwek1"/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1181C3B7" wp14:editId="763DA66A">
            <wp:extent cx="2836335" cy="4271964"/>
            <wp:effectExtent l="0" t="0" r="21590" b="14605"/>
            <wp:docPr id="15" name="Wykres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noProof/>
        </w:rPr>
        <w:drawing>
          <wp:inline distT="0" distB="0" distL="0" distR="0" wp14:anchorId="29D59285" wp14:editId="434286F3">
            <wp:extent cx="2836335" cy="4271964"/>
            <wp:effectExtent l="0" t="0" r="21590" b="14605"/>
            <wp:docPr id="17" name="Wykres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7D14E3" w:rsidRDefault="007D14E3" w:rsidP="003B5C4F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</w:p>
    <w:p w:rsidR="00FC430D" w:rsidRDefault="00FC430D" w:rsidP="003B5C4F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</w:p>
    <w:p w:rsidR="00FC430D" w:rsidRDefault="00FC430D" w:rsidP="003B5C4F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6E59CEA9" wp14:editId="721383FB">
            <wp:extent cx="5760720" cy="3300502"/>
            <wp:effectExtent l="0" t="0" r="11430" b="14605"/>
            <wp:docPr id="7" name="Wykres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FC430D" w:rsidRDefault="00FC430D" w:rsidP="003B5C4F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</w:p>
    <w:p w:rsidR="00FC430D" w:rsidRDefault="00FC430D" w:rsidP="003B5C4F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  <w:r>
        <w:rPr>
          <w:noProof/>
        </w:rPr>
        <w:drawing>
          <wp:inline distT="0" distB="0" distL="0" distR="0" wp14:anchorId="09945629" wp14:editId="72DEAAD1">
            <wp:extent cx="2732568" cy="4114800"/>
            <wp:effectExtent l="0" t="0" r="10795" b="19050"/>
            <wp:docPr id="16" name="Wykres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>
        <w:rPr>
          <w:rFonts w:ascii="Arial" w:hAnsi="Arial" w:cs="Arial"/>
          <w:b w:val="0"/>
          <w:sz w:val="22"/>
          <w:szCs w:val="22"/>
        </w:rPr>
        <w:t xml:space="preserve"> </w:t>
      </w:r>
      <w:r w:rsidR="00D83350">
        <w:rPr>
          <w:rFonts w:ascii="Arial" w:hAnsi="Arial" w:cs="Arial"/>
          <w:b w:val="0"/>
          <w:sz w:val="22"/>
          <w:szCs w:val="22"/>
        </w:rPr>
        <w:t xml:space="preserve"> 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 w:rsidR="00286FA0">
        <w:rPr>
          <w:noProof/>
        </w:rPr>
        <w:drawing>
          <wp:inline distT="0" distB="0" distL="0" distR="0" wp14:anchorId="2E1FA2B0" wp14:editId="397334EC">
            <wp:extent cx="2867026" cy="4114273"/>
            <wp:effectExtent l="0" t="0" r="9525" b="19685"/>
            <wp:docPr id="23" name="Wykres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C430D" w:rsidRDefault="00FC430D" w:rsidP="003B5C4F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</w:p>
    <w:p w:rsidR="00FC430D" w:rsidRDefault="00FC430D" w:rsidP="003B5C4F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</w:p>
    <w:p w:rsidR="00FC430D" w:rsidRDefault="00553303" w:rsidP="003B5C4F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1E2E07CC" wp14:editId="4756F38A">
            <wp:extent cx="5760720" cy="3300502"/>
            <wp:effectExtent l="0" t="0" r="11430" b="14605"/>
            <wp:docPr id="24" name="Wykres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9F18B8" w:rsidRDefault="009F18B8" w:rsidP="003B5C4F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</w:p>
    <w:p w:rsidR="009F18B8" w:rsidRDefault="009F18B8" w:rsidP="003B5C4F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  <w:r>
        <w:rPr>
          <w:noProof/>
        </w:rPr>
        <w:drawing>
          <wp:inline distT="0" distB="0" distL="0" distR="0" wp14:anchorId="523FE38F" wp14:editId="29E051EF">
            <wp:extent cx="2828261" cy="4146698"/>
            <wp:effectExtent l="0" t="0" r="10795" b="25400"/>
            <wp:docPr id="25" name="Wykres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  <w:r>
        <w:rPr>
          <w:rFonts w:ascii="Arial" w:hAnsi="Arial" w:cs="Arial"/>
          <w:b w:val="0"/>
          <w:sz w:val="22"/>
          <w:szCs w:val="22"/>
        </w:rPr>
        <w:t xml:space="preserve">  </w:t>
      </w:r>
      <w:r>
        <w:rPr>
          <w:noProof/>
        </w:rPr>
        <w:drawing>
          <wp:inline distT="0" distB="0" distL="0" distR="0" wp14:anchorId="677E3658" wp14:editId="0C7A3007">
            <wp:extent cx="2828261" cy="4146698"/>
            <wp:effectExtent l="0" t="0" r="10795" b="25400"/>
            <wp:docPr id="27" name="Wykres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FC430D" w:rsidRDefault="00FC430D" w:rsidP="003B5C4F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</w:p>
    <w:p w:rsidR="00FC430D" w:rsidRDefault="00FC430D" w:rsidP="003B5C4F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</w:p>
    <w:p w:rsidR="003B5C4F" w:rsidRPr="00B4568D" w:rsidRDefault="003B5C4F" w:rsidP="003B5C4F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lastRenderedPageBreak/>
        <w:t xml:space="preserve">Tabl. 2. Struktura wpływu skarg na </w:t>
      </w:r>
      <w:r w:rsidRPr="00B4568D">
        <w:rPr>
          <w:rFonts w:ascii="Arial" w:hAnsi="Arial" w:cs="Arial"/>
          <w:b w:val="0"/>
          <w:sz w:val="22"/>
          <w:szCs w:val="22"/>
        </w:rPr>
        <w:t xml:space="preserve">przewlekłość postępowania </w:t>
      </w:r>
      <w:r>
        <w:rPr>
          <w:rFonts w:ascii="Arial" w:hAnsi="Arial" w:cs="Arial"/>
          <w:b w:val="0"/>
          <w:sz w:val="22"/>
          <w:szCs w:val="22"/>
        </w:rPr>
        <w:t>karnego w latach 2009-2013 (sądy apelacyjne i okręgowe łącznie)</w:t>
      </w:r>
    </w:p>
    <w:tbl>
      <w:tblPr>
        <w:tblW w:w="915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50"/>
        <w:gridCol w:w="1500"/>
        <w:gridCol w:w="960"/>
        <w:gridCol w:w="960"/>
        <w:gridCol w:w="960"/>
        <w:gridCol w:w="960"/>
        <w:gridCol w:w="960"/>
      </w:tblGrid>
      <w:tr w:rsidR="00AA4033" w:rsidRPr="00AA4033" w:rsidTr="00AA4033">
        <w:trPr>
          <w:trHeight w:val="405"/>
        </w:trPr>
        <w:tc>
          <w:tcPr>
            <w:tcW w:w="4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eastAsia="pl-PL"/>
              </w:rPr>
              <w:t>Wyszczególnienie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033" w:rsidRPr="003B5C4F" w:rsidRDefault="00AA4033" w:rsidP="00AA403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3B5C4F"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  <w:t>2009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033" w:rsidRPr="003B5C4F" w:rsidRDefault="00AA4033" w:rsidP="00AA403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3B5C4F"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  <w:t>2010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033" w:rsidRPr="003B5C4F" w:rsidRDefault="00AA4033" w:rsidP="00AA403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3B5C4F"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  <w:t>2011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033" w:rsidRPr="003B5C4F" w:rsidRDefault="00AA4033" w:rsidP="00AA403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3B5C4F"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  <w:t>2012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4033" w:rsidRPr="003B5C4F" w:rsidRDefault="00AA4033" w:rsidP="00AA403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3B5C4F"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  <w:t>2013</w:t>
            </w:r>
          </w:p>
        </w:tc>
      </w:tr>
      <w:tr w:rsidR="00AA4033" w:rsidRPr="00AA4033" w:rsidTr="0002204D">
        <w:trPr>
          <w:trHeight w:val="346"/>
        </w:trPr>
        <w:tc>
          <w:tcPr>
            <w:tcW w:w="4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Ogółem postępowanie sądowe i prokuratorskie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02204D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02204D"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  <w:t>1 445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02204D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02204D"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  <w:t>2 188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02204D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02204D"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  <w:t>2 130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02204D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02204D"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  <w:t>2 211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02204D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02204D"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  <w:t>2 581</w:t>
            </w:r>
          </w:p>
        </w:tc>
      </w:tr>
      <w:tr w:rsidR="00AA4033" w:rsidRPr="00AA4033" w:rsidTr="00AA4033">
        <w:trPr>
          <w:trHeight w:val="255"/>
        </w:trPr>
        <w:tc>
          <w:tcPr>
            <w:tcW w:w="4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Ogółem postępowanie sądowe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02204D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02204D"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  <w:t>1 048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02204D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02204D"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  <w:t>1 634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02204D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02204D"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  <w:t>1 572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02204D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02204D"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  <w:t>1 685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02204D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02204D"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  <w:t>1 954</w:t>
            </w:r>
          </w:p>
        </w:tc>
      </w:tr>
      <w:tr w:rsidR="00AA4033" w:rsidRPr="00AA4033" w:rsidTr="00AA4033">
        <w:trPr>
          <w:trHeight w:val="255"/>
        </w:trPr>
        <w:tc>
          <w:tcPr>
            <w:tcW w:w="4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Ogółem postępowanie prokuratorskie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02204D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02204D"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  <w:t>397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02204D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02204D"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  <w:t>554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02204D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02204D"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  <w:t>557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02204D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02204D"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  <w:t>526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02204D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02204D"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pl-PL"/>
              </w:rPr>
              <w:t>627</w:t>
            </w:r>
          </w:p>
        </w:tc>
      </w:tr>
      <w:tr w:rsidR="00AA4033" w:rsidRPr="00AA4033" w:rsidTr="00AA4033">
        <w:trPr>
          <w:trHeight w:val="255"/>
        </w:trPr>
        <w:tc>
          <w:tcPr>
            <w:tcW w:w="4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firstLineChars="100" w:firstLine="18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w tym: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0</w:t>
            </w:r>
          </w:p>
        </w:tc>
      </w:tr>
      <w:tr w:rsidR="00AA4033" w:rsidRPr="00AA4033" w:rsidTr="00AA4033">
        <w:trPr>
          <w:trHeight w:val="255"/>
        </w:trPr>
        <w:tc>
          <w:tcPr>
            <w:tcW w:w="28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zbyt odległe wyznaczenie terminu pierwszej rozprawy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sądowe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103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167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143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152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142</w:t>
            </w:r>
          </w:p>
        </w:tc>
      </w:tr>
      <w:tr w:rsidR="00AA4033" w:rsidRPr="00AA4033" w:rsidTr="00AA4033">
        <w:trPr>
          <w:trHeight w:val="255"/>
        </w:trPr>
        <w:tc>
          <w:tcPr>
            <w:tcW w:w="2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prokuratorskie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214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0</w:t>
            </w:r>
          </w:p>
        </w:tc>
      </w:tr>
      <w:tr w:rsidR="00AA4033" w:rsidRPr="00AA4033" w:rsidTr="00AA4033">
        <w:trPr>
          <w:trHeight w:val="255"/>
        </w:trPr>
        <w:tc>
          <w:tcPr>
            <w:tcW w:w="4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długość przerwy (odroczenia) między rozprawami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267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188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249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175</w:t>
            </w:r>
          </w:p>
        </w:tc>
      </w:tr>
      <w:tr w:rsidR="00AA4033" w:rsidRPr="00AA4033" w:rsidTr="00AA4033">
        <w:trPr>
          <w:trHeight w:val="255"/>
        </w:trPr>
        <w:tc>
          <w:tcPr>
            <w:tcW w:w="28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zwłokę wykonania opinii przez biegłych albo zasięganie przez sądy (prokuratora) kolejnych opinii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sądowe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</w:tr>
      <w:tr w:rsidR="00AA4033" w:rsidRPr="00AA4033" w:rsidTr="00AA4033">
        <w:trPr>
          <w:trHeight w:val="255"/>
        </w:trPr>
        <w:tc>
          <w:tcPr>
            <w:tcW w:w="2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prokuratorskie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19</w:t>
            </w:r>
          </w:p>
        </w:tc>
      </w:tr>
      <w:tr w:rsidR="00AA4033" w:rsidRPr="00AA4033" w:rsidTr="00AA4033">
        <w:trPr>
          <w:trHeight w:val="255"/>
        </w:trPr>
        <w:tc>
          <w:tcPr>
            <w:tcW w:w="28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nadużywanie zawieszenia postępowania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sądowe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</w:tr>
      <w:tr w:rsidR="00AA4033" w:rsidRPr="00AA4033" w:rsidTr="00AA4033">
        <w:trPr>
          <w:trHeight w:val="255"/>
        </w:trPr>
        <w:tc>
          <w:tcPr>
            <w:tcW w:w="2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prokuratorskie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11</w:t>
            </w:r>
          </w:p>
        </w:tc>
      </w:tr>
      <w:tr w:rsidR="00AA4033" w:rsidRPr="00AA4033" w:rsidTr="00AA4033">
        <w:trPr>
          <w:trHeight w:val="255"/>
        </w:trPr>
        <w:tc>
          <w:tcPr>
            <w:tcW w:w="28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przewlekłość trwania tzw. czynności wstępnych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sądowe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31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67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68</w:t>
            </w:r>
          </w:p>
        </w:tc>
      </w:tr>
      <w:tr w:rsidR="00AA4033" w:rsidRPr="00AA4033" w:rsidTr="00AA4033">
        <w:trPr>
          <w:trHeight w:val="255"/>
        </w:trPr>
        <w:tc>
          <w:tcPr>
            <w:tcW w:w="2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prokuratorskie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58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34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131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89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132</w:t>
            </w:r>
          </w:p>
        </w:tc>
      </w:tr>
      <w:tr w:rsidR="00AA4033" w:rsidRPr="00AA4033" w:rsidTr="00AA4033">
        <w:trPr>
          <w:trHeight w:val="255"/>
        </w:trPr>
        <w:tc>
          <w:tcPr>
            <w:tcW w:w="28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przewlekłość postępowania </w:t>
            </w:r>
            <w:proofErr w:type="spellStart"/>
            <w:r w:rsidRPr="00AA4033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międzyinstancyjnego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sądowe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29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12</w:t>
            </w:r>
          </w:p>
        </w:tc>
      </w:tr>
      <w:tr w:rsidR="00AA4033" w:rsidRPr="00AA4033" w:rsidTr="00AA4033">
        <w:trPr>
          <w:trHeight w:val="255"/>
        </w:trPr>
        <w:tc>
          <w:tcPr>
            <w:tcW w:w="2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prokuratorskie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</w:tr>
      <w:tr w:rsidR="00AA4033" w:rsidRPr="00AA4033" w:rsidTr="007A25E0">
        <w:trPr>
          <w:trHeight w:val="255"/>
        </w:trPr>
        <w:tc>
          <w:tcPr>
            <w:tcW w:w="4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przewlekłość postępowania wykonawczego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39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223</w:t>
            </w:r>
          </w:p>
        </w:tc>
      </w:tr>
      <w:tr w:rsidR="00AA4033" w:rsidRPr="00AA4033" w:rsidTr="00AA4033">
        <w:trPr>
          <w:trHeight w:val="255"/>
        </w:trPr>
        <w:tc>
          <w:tcPr>
            <w:tcW w:w="2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bezczynność w podejmowaniu czynności procesowych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sądowe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153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404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334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346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480</w:t>
            </w:r>
          </w:p>
        </w:tc>
      </w:tr>
      <w:tr w:rsidR="00AA4033" w:rsidRPr="00AA4033" w:rsidTr="0002204D">
        <w:trPr>
          <w:trHeight w:val="255"/>
        </w:trPr>
        <w:tc>
          <w:tcPr>
            <w:tcW w:w="2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prokuratorskie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81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169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189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215</w:t>
            </w:r>
          </w:p>
        </w:tc>
      </w:tr>
      <w:tr w:rsidR="00AA4033" w:rsidRPr="00AA4033" w:rsidTr="0002204D">
        <w:trPr>
          <w:trHeight w:val="255"/>
        </w:trPr>
        <w:tc>
          <w:tcPr>
            <w:tcW w:w="4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nieterminowość sporządzania uzasadnień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19</w:t>
            </w:r>
          </w:p>
        </w:tc>
      </w:tr>
      <w:tr w:rsidR="00AA4033" w:rsidRPr="00AA4033" w:rsidTr="0002204D">
        <w:trPr>
          <w:trHeight w:val="255"/>
        </w:trPr>
        <w:tc>
          <w:tcPr>
            <w:tcW w:w="285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inne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sądowe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415</w:t>
            </w: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550</w:t>
            </w: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709</w:t>
            </w: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724</w:t>
            </w: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811</w:t>
            </w:r>
          </w:p>
        </w:tc>
      </w:tr>
      <w:tr w:rsidR="00AA4033" w:rsidRPr="00AA4033" w:rsidTr="0002204D">
        <w:trPr>
          <w:trHeight w:val="255"/>
        </w:trPr>
        <w:tc>
          <w:tcPr>
            <w:tcW w:w="2850" w:type="dxa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ind w:left="229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prokuratorskie</w:t>
            </w: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148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177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227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218</w:t>
            </w:r>
          </w:p>
        </w:tc>
        <w:tc>
          <w:tcPr>
            <w:tcW w:w="960" w:type="dxa"/>
            <w:tcBorders>
              <w:right w:val="nil"/>
            </w:tcBorders>
            <w:shd w:val="clear" w:color="auto" w:fill="auto"/>
            <w:vAlign w:val="center"/>
            <w:hideMark/>
          </w:tcPr>
          <w:p w:rsidR="00AA4033" w:rsidRPr="00AA4033" w:rsidRDefault="00AA4033" w:rsidP="00AA403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AA4033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263</w:t>
            </w:r>
          </w:p>
        </w:tc>
      </w:tr>
    </w:tbl>
    <w:p w:rsidR="00F005F5" w:rsidRDefault="00F005F5" w:rsidP="00D73E73">
      <w:pPr>
        <w:pStyle w:val="Nagwek1"/>
        <w:jc w:val="both"/>
        <w:rPr>
          <w:noProof/>
        </w:rPr>
      </w:pPr>
    </w:p>
    <w:p w:rsidR="00132690" w:rsidRDefault="00132690" w:rsidP="00D73E73">
      <w:pPr>
        <w:pStyle w:val="Nagwek1"/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532BC473" wp14:editId="511C4CC3">
            <wp:extent cx="5762847" cy="3732028"/>
            <wp:effectExtent l="0" t="0" r="9525" b="20955"/>
            <wp:docPr id="18" name="Wykres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272A8C" w:rsidRDefault="006254E5" w:rsidP="00D73E73">
      <w:pPr>
        <w:pStyle w:val="Nagwek1"/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1F55DA89" wp14:editId="096702FE">
            <wp:extent cx="5847907" cy="4178596"/>
            <wp:effectExtent l="0" t="0" r="19685" b="12700"/>
            <wp:docPr id="19" name="Wykres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4A7129" w:rsidRDefault="004A7129" w:rsidP="007D180D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</w:p>
    <w:p w:rsidR="004A7129" w:rsidRDefault="004A7129" w:rsidP="007D180D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</w:p>
    <w:p w:rsidR="004A7129" w:rsidRDefault="004A7129" w:rsidP="007D180D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</w:p>
    <w:p w:rsidR="004A7129" w:rsidRDefault="004A7129" w:rsidP="007D180D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</w:p>
    <w:p w:rsidR="004A7129" w:rsidRDefault="004A7129" w:rsidP="007D180D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</w:p>
    <w:p w:rsidR="004A7129" w:rsidRDefault="004A7129" w:rsidP="007D180D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</w:p>
    <w:p w:rsidR="004A7129" w:rsidRDefault="004A7129" w:rsidP="007D180D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</w:p>
    <w:p w:rsidR="004A7129" w:rsidRDefault="004A7129" w:rsidP="007D180D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</w:p>
    <w:p w:rsidR="004A7129" w:rsidRDefault="004A7129" w:rsidP="007D180D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</w:p>
    <w:p w:rsidR="004A7129" w:rsidRDefault="004A7129" w:rsidP="007D180D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</w:p>
    <w:p w:rsidR="004A7129" w:rsidRDefault="004A7129" w:rsidP="007D180D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</w:p>
    <w:p w:rsidR="004A7129" w:rsidRDefault="004A7129" w:rsidP="007D180D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</w:p>
    <w:p w:rsidR="004A7129" w:rsidRDefault="004A7129" w:rsidP="007D180D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</w:p>
    <w:p w:rsidR="007D180D" w:rsidRPr="00B4568D" w:rsidRDefault="00C802EC" w:rsidP="007D180D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lastRenderedPageBreak/>
        <w:t xml:space="preserve">Tabl. 3. </w:t>
      </w:r>
      <w:r w:rsidR="007D180D">
        <w:rPr>
          <w:rFonts w:ascii="Arial" w:hAnsi="Arial" w:cs="Arial"/>
          <w:b w:val="0"/>
          <w:sz w:val="22"/>
          <w:szCs w:val="22"/>
        </w:rPr>
        <w:t xml:space="preserve">Odsetek </w:t>
      </w:r>
      <w:r w:rsidR="007D180D" w:rsidRPr="00F64695">
        <w:rPr>
          <w:rFonts w:ascii="Arial" w:hAnsi="Arial" w:cs="Arial"/>
          <w:b w:val="0"/>
          <w:sz w:val="22"/>
          <w:szCs w:val="22"/>
        </w:rPr>
        <w:t xml:space="preserve">uwzględnionych </w:t>
      </w:r>
      <w:r w:rsidR="007D180D">
        <w:rPr>
          <w:rFonts w:ascii="Arial" w:hAnsi="Arial" w:cs="Arial"/>
          <w:b w:val="0"/>
          <w:sz w:val="22"/>
          <w:szCs w:val="22"/>
        </w:rPr>
        <w:t xml:space="preserve">skarg na postępowanie </w:t>
      </w:r>
      <w:r w:rsidR="00E15388">
        <w:rPr>
          <w:rFonts w:ascii="Arial" w:hAnsi="Arial" w:cs="Arial"/>
          <w:b w:val="0"/>
          <w:sz w:val="22"/>
          <w:szCs w:val="22"/>
        </w:rPr>
        <w:t>karne</w:t>
      </w:r>
      <w:r w:rsidR="007D180D">
        <w:rPr>
          <w:rFonts w:ascii="Arial" w:hAnsi="Arial" w:cs="Arial"/>
          <w:b w:val="0"/>
          <w:sz w:val="22"/>
          <w:szCs w:val="22"/>
        </w:rPr>
        <w:t xml:space="preserve"> w stosunku do liczb</w:t>
      </w:r>
      <w:r w:rsidR="001D58C0">
        <w:rPr>
          <w:rFonts w:ascii="Arial" w:hAnsi="Arial" w:cs="Arial"/>
          <w:b w:val="0"/>
          <w:sz w:val="22"/>
          <w:szCs w:val="22"/>
        </w:rPr>
        <w:t>y spraw w głównych repertoriach</w:t>
      </w:r>
      <w:r w:rsidR="007D180D" w:rsidRPr="008C43EB">
        <w:rPr>
          <w:rFonts w:ascii="Arial" w:hAnsi="Arial" w:cs="Arial"/>
          <w:b w:val="0"/>
          <w:sz w:val="22"/>
          <w:szCs w:val="22"/>
          <w:vertAlign w:val="superscript"/>
        </w:rPr>
        <w:t>*)</w:t>
      </w:r>
      <w:r w:rsidR="007D180D">
        <w:rPr>
          <w:rFonts w:ascii="Arial" w:hAnsi="Arial" w:cs="Arial"/>
          <w:b w:val="0"/>
          <w:sz w:val="22"/>
          <w:szCs w:val="22"/>
        </w:rPr>
        <w:t xml:space="preserve"> załatwionych w pierwszej instancji w sądach okręgowych </w:t>
      </w:r>
      <w:r w:rsidR="007D180D">
        <w:rPr>
          <w:rFonts w:ascii="Arial" w:hAnsi="Arial" w:cs="Arial"/>
          <w:b w:val="0"/>
          <w:sz w:val="22"/>
          <w:szCs w:val="22"/>
        </w:rPr>
        <w:br/>
        <w:t>i rejonowych</w:t>
      </w:r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662"/>
        <w:gridCol w:w="2662"/>
        <w:gridCol w:w="2662"/>
      </w:tblGrid>
      <w:tr w:rsidR="00C802EC" w:rsidRPr="00C802EC" w:rsidTr="007D180D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2EC" w:rsidRPr="00C802EC" w:rsidRDefault="00C802EC" w:rsidP="00C802E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C802E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Lata</w:t>
            </w:r>
          </w:p>
        </w:tc>
        <w:tc>
          <w:tcPr>
            <w:tcW w:w="2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2EC" w:rsidRPr="00C802EC" w:rsidRDefault="00C802EC" w:rsidP="00C802E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C802E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Załatwienie</w:t>
            </w:r>
          </w:p>
        </w:tc>
        <w:tc>
          <w:tcPr>
            <w:tcW w:w="2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2EC" w:rsidRPr="00C802EC" w:rsidRDefault="00C802EC" w:rsidP="00C802E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C802E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Skargi uwzględnione</w:t>
            </w:r>
          </w:p>
        </w:tc>
        <w:tc>
          <w:tcPr>
            <w:tcW w:w="2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802EC" w:rsidRPr="00C802EC" w:rsidRDefault="00C802EC" w:rsidP="00C802E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4"/>
                <w:szCs w:val="14"/>
                <w:lang w:eastAsia="pl-PL"/>
              </w:rPr>
            </w:pPr>
            <w:r w:rsidRPr="00C802EC">
              <w:rPr>
                <w:rFonts w:ascii="Arial Narrow" w:eastAsia="Times New Roman" w:hAnsi="Arial Narrow" w:cs="Times New Roman"/>
                <w:color w:val="000000"/>
                <w:sz w:val="14"/>
                <w:szCs w:val="14"/>
                <w:lang w:eastAsia="pl-PL"/>
              </w:rPr>
              <w:t xml:space="preserve">Odsetek </w:t>
            </w:r>
          </w:p>
        </w:tc>
      </w:tr>
      <w:tr w:rsidR="00C802EC" w:rsidRPr="00C802EC" w:rsidTr="007D180D">
        <w:trPr>
          <w:trHeight w:val="678"/>
        </w:trPr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2EC" w:rsidRPr="00C802EC" w:rsidRDefault="00C802EC" w:rsidP="00C802E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802EC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2009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02EC" w:rsidRPr="00C802EC" w:rsidRDefault="00C802EC" w:rsidP="00C802E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C802E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1 440 179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02EC" w:rsidRPr="00C802EC" w:rsidRDefault="00C802EC" w:rsidP="00C802E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C802E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187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02EC" w:rsidRPr="00C802EC" w:rsidRDefault="00C802EC" w:rsidP="00C802E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C802E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0,013%</w:t>
            </w:r>
          </w:p>
        </w:tc>
      </w:tr>
      <w:tr w:rsidR="00C802EC" w:rsidRPr="00C802EC" w:rsidTr="007D180D">
        <w:trPr>
          <w:trHeight w:val="678"/>
        </w:trPr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2EC" w:rsidRPr="00C802EC" w:rsidRDefault="00C802EC" w:rsidP="00C802E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802EC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2010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02EC" w:rsidRPr="00C802EC" w:rsidRDefault="00C802EC" w:rsidP="00C802E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C802E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1 295 403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02EC" w:rsidRPr="00C802EC" w:rsidRDefault="00C802EC" w:rsidP="00C802E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C802E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297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02EC" w:rsidRPr="00C802EC" w:rsidRDefault="00C802EC" w:rsidP="00C802E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C802E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0,023%</w:t>
            </w:r>
          </w:p>
        </w:tc>
      </w:tr>
      <w:tr w:rsidR="00C802EC" w:rsidRPr="00C802EC" w:rsidTr="007D180D">
        <w:trPr>
          <w:trHeight w:val="678"/>
        </w:trPr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2EC" w:rsidRPr="00C802EC" w:rsidRDefault="00C802EC" w:rsidP="00C802E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802EC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2011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02EC" w:rsidRPr="00C802EC" w:rsidRDefault="00C802EC" w:rsidP="00C802E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C802E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1 284 236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02EC" w:rsidRPr="00C802EC" w:rsidRDefault="00C802EC" w:rsidP="00C802E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C802E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284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02EC" w:rsidRPr="00C802EC" w:rsidRDefault="00C802EC" w:rsidP="00C802E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C802E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0,022%</w:t>
            </w:r>
          </w:p>
        </w:tc>
      </w:tr>
      <w:tr w:rsidR="00C802EC" w:rsidRPr="00C802EC" w:rsidTr="007D180D">
        <w:trPr>
          <w:trHeight w:val="678"/>
        </w:trPr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2EC" w:rsidRPr="00C802EC" w:rsidRDefault="00C802EC" w:rsidP="00C802E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802EC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2012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02EC" w:rsidRPr="00C802EC" w:rsidRDefault="00C802EC" w:rsidP="00C802E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C802E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1 226 642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02EC" w:rsidRPr="00C802EC" w:rsidRDefault="00C802EC" w:rsidP="00C802E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C802E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283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02EC" w:rsidRPr="00C802EC" w:rsidRDefault="00C802EC" w:rsidP="00C802E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C802E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0,023%</w:t>
            </w:r>
          </w:p>
        </w:tc>
      </w:tr>
      <w:tr w:rsidR="00C802EC" w:rsidRPr="00C802EC" w:rsidTr="007D180D">
        <w:trPr>
          <w:trHeight w:val="678"/>
        </w:trPr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2EC" w:rsidRPr="00C802EC" w:rsidRDefault="00C802EC" w:rsidP="00C802E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802EC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2013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02EC" w:rsidRPr="00C802EC" w:rsidRDefault="00C802EC" w:rsidP="00C802E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C802E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1 210 617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02EC" w:rsidRPr="00C802EC" w:rsidRDefault="00C802EC" w:rsidP="00C802E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C802E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371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02EC" w:rsidRPr="00C802EC" w:rsidRDefault="00C802EC" w:rsidP="00C802E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C802E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0,031%</w:t>
            </w:r>
          </w:p>
        </w:tc>
      </w:tr>
    </w:tbl>
    <w:p w:rsidR="00E15388" w:rsidRPr="00EB77DE" w:rsidRDefault="00E15388" w:rsidP="00E15388">
      <w:pPr>
        <w:jc w:val="both"/>
        <w:rPr>
          <w:rFonts w:ascii="Arial Narrow" w:hAnsi="Arial Narrow" w:cs="Arial"/>
          <w:i/>
          <w:sz w:val="20"/>
          <w:szCs w:val="20"/>
        </w:rPr>
      </w:pPr>
      <w:r w:rsidRPr="00EB77DE">
        <w:rPr>
          <w:rFonts w:ascii="Arial Narrow" w:hAnsi="Arial Narrow" w:cs="Arial"/>
          <w:i/>
          <w:sz w:val="20"/>
          <w:szCs w:val="20"/>
          <w:vertAlign w:val="superscript"/>
        </w:rPr>
        <w:t xml:space="preserve">*) </w:t>
      </w:r>
      <w:r w:rsidRPr="00EB77DE">
        <w:rPr>
          <w:rFonts w:ascii="Arial Narrow" w:hAnsi="Arial Narrow" w:cs="Arial"/>
          <w:i/>
          <w:sz w:val="20"/>
          <w:szCs w:val="20"/>
        </w:rPr>
        <w:t xml:space="preserve">dla sądów okręgowych: </w:t>
      </w:r>
      <w:r>
        <w:rPr>
          <w:rFonts w:ascii="Arial Narrow" w:hAnsi="Arial Narrow" w:cs="Arial"/>
          <w:i/>
          <w:sz w:val="20"/>
          <w:szCs w:val="20"/>
        </w:rPr>
        <w:t xml:space="preserve">K; dla sądów rejonowych: K, </w:t>
      </w:r>
      <w:proofErr w:type="spellStart"/>
      <w:r>
        <w:rPr>
          <w:rFonts w:ascii="Arial Narrow" w:hAnsi="Arial Narrow" w:cs="Arial"/>
          <w:i/>
          <w:sz w:val="20"/>
          <w:szCs w:val="20"/>
        </w:rPr>
        <w:t>Kp</w:t>
      </w:r>
      <w:proofErr w:type="spellEnd"/>
      <w:r>
        <w:rPr>
          <w:rFonts w:ascii="Arial Narrow" w:hAnsi="Arial Narrow" w:cs="Arial"/>
          <w:i/>
          <w:sz w:val="20"/>
          <w:szCs w:val="20"/>
        </w:rPr>
        <w:t>, W</w:t>
      </w:r>
    </w:p>
    <w:p w:rsidR="00F005F5" w:rsidRDefault="00F005F5" w:rsidP="00D73E73">
      <w:pPr>
        <w:pStyle w:val="Nagwek1"/>
        <w:jc w:val="both"/>
        <w:rPr>
          <w:rFonts w:ascii="Arial" w:hAnsi="Arial" w:cs="Arial"/>
          <w:sz w:val="22"/>
          <w:szCs w:val="22"/>
        </w:rPr>
      </w:pPr>
    </w:p>
    <w:p w:rsidR="00F005F5" w:rsidRDefault="00A22BE5" w:rsidP="00D73E73">
      <w:pPr>
        <w:pStyle w:val="Nagwek1"/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6876E376" wp14:editId="26306AFD">
            <wp:extent cx="5699052" cy="4401879"/>
            <wp:effectExtent l="0" t="0" r="16510" b="17780"/>
            <wp:docPr id="28" name="Wykres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F005F5" w:rsidRDefault="00F005F5" w:rsidP="00D73E73">
      <w:pPr>
        <w:pStyle w:val="Nagwek1"/>
        <w:jc w:val="both"/>
        <w:rPr>
          <w:rFonts w:ascii="Arial" w:hAnsi="Arial" w:cs="Arial"/>
          <w:sz w:val="22"/>
          <w:szCs w:val="22"/>
        </w:rPr>
      </w:pPr>
    </w:p>
    <w:p w:rsidR="00F005F5" w:rsidRDefault="00D675A2" w:rsidP="00D73E73">
      <w:pPr>
        <w:pStyle w:val="Nagwek1"/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66BB695D" wp14:editId="4C20AD9F">
            <wp:extent cx="5975498" cy="4051005"/>
            <wp:effectExtent l="0" t="0" r="25400" b="26035"/>
            <wp:docPr id="29" name="Wykres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005F5" w:rsidRDefault="00CE425C" w:rsidP="00D73E73">
      <w:pPr>
        <w:pStyle w:val="Nagwek1"/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2626BDF9" wp14:editId="7AEC110B">
            <wp:extent cx="5975498" cy="4348716"/>
            <wp:effectExtent l="0" t="0" r="25400" b="13970"/>
            <wp:docPr id="30" name="Wykres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5018EC" w:rsidRPr="00C3349F" w:rsidRDefault="005018EC" w:rsidP="00F005F5">
      <w:pPr>
        <w:pStyle w:val="Nagwek1"/>
        <w:numPr>
          <w:ilvl w:val="0"/>
          <w:numId w:val="2"/>
        </w:numPr>
        <w:jc w:val="both"/>
        <w:rPr>
          <w:rFonts w:ascii="Arial" w:hAnsi="Arial" w:cs="Arial"/>
          <w:sz w:val="28"/>
          <w:szCs w:val="28"/>
        </w:rPr>
      </w:pPr>
      <w:r w:rsidRPr="00C3349F">
        <w:rPr>
          <w:rFonts w:ascii="Arial" w:hAnsi="Arial" w:cs="Arial"/>
          <w:sz w:val="28"/>
          <w:szCs w:val="28"/>
        </w:rPr>
        <w:lastRenderedPageBreak/>
        <w:t>Skargi na postępowanie cywilne</w:t>
      </w:r>
    </w:p>
    <w:p w:rsidR="00C33390" w:rsidRDefault="00C33390" w:rsidP="00C33390">
      <w:pPr>
        <w:pStyle w:val="Nagwek1"/>
        <w:ind w:left="360"/>
        <w:jc w:val="both"/>
        <w:rPr>
          <w:rFonts w:ascii="Arial" w:hAnsi="Arial" w:cs="Arial"/>
          <w:sz w:val="22"/>
          <w:szCs w:val="22"/>
        </w:rPr>
      </w:pPr>
    </w:p>
    <w:p w:rsidR="00F005F5" w:rsidRPr="00B4568D" w:rsidRDefault="00874438" w:rsidP="00C50D94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Tabl. 4</w:t>
      </w:r>
      <w:r w:rsidR="00F005F5">
        <w:rPr>
          <w:rFonts w:ascii="Arial" w:hAnsi="Arial" w:cs="Arial"/>
          <w:b w:val="0"/>
          <w:sz w:val="22"/>
          <w:szCs w:val="22"/>
        </w:rPr>
        <w:t xml:space="preserve">. Ewidencja skarg na </w:t>
      </w:r>
      <w:r w:rsidR="00F005F5" w:rsidRPr="00B4568D">
        <w:rPr>
          <w:rFonts w:ascii="Arial" w:hAnsi="Arial" w:cs="Arial"/>
          <w:b w:val="0"/>
          <w:sz w:val="22"/>
          <w:szCs w:val="22"/>
        </w:rPr>
        <w:t>przewlekłość postępowania sądowego</w:t>
      </w:r>
      <w:r w:rsidR="00F005F5">
        <w:rPr>
          <w:rFonts w:ascii="Arial" w:hAnsi="Arial" w:cs="Arial"/>
          <w:b w:val="0"/>
          <w:sz w:val="22"/>
          <w:szCs w:val="22"/>
        </w:rPr>
        <w:t xml:space="preserve"> cywilnego </w:t>
      </w:r>
      <w:r w:rsidR="007361A0">
        <w:rPr>
          <w:rFonts w:ascii="Arial" w:hAnsi="Arial" w:cs="Arial"/>
          <w:b w:val="0"/>
          <w:sz w:val="22"/>
          <w:szCs w:val="22"/>
        </w:rPr>
        <w:t>w latach 2009-2013 (sądy apelacyjne i okręgowe łącznie)</w:t>
      </w:r>
    </w:p>
    <w:tbl>
      <w:tblPr>
        <w:tblW w:w="9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0"/>
        <w:gridCol w:w="944"/>
        <w:gridCol w:w="930"/>
        <w:gridCol w:w="924"/>
        <w:gridCol w:w="943"/>
        <w:gridCol w:w="944"/>
        <w:gridCol w:w="952"/>
        <w:gridCol w:w="1055"/>
        <w:gridCol w:w="1158"/>
      </w:tblGrid>
      <w:tr w:rsidR="00F005F5" w:rsidRPr="00F005F5" w:rsidTr="007361A0">
        <w:trPr>
          <w:trHeight w:val="372"/>
        </w:trPr>
        <w:tc>
          <w:tcPr>
            <w:tcW w:w="1193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Lata</w:t>
            </w: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Wpłynęło</w:t>
            </w:r>
          </w:p>
        </w:tc>
        <w:tc>
          <w:tcPr>
            <w:tcW w:w="47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Załatwiono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Ogólna kwota zasądzonych odszkodowań (w zł.)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  <w:t>Średnia wartość odszkodowania na sprawę</w:t>
            </w:r>
          </w:p>
        </w:tc>
      </w:tr>
      <w:tr w:rsidR="00F005F5" w:rsidRPr="00F005F5" w:rsidTr="007361A0">
        <w:trPr>
          <w:trHeight w:val="703"/>
        </w:trPr>
        <w:tc>
          <w:tcPr>
            <w:tcW w:w="119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ogółem</w:t>
            </w:r>
          </w:p>
        </w:tc>
        <w:tc>
          <w:tcPr>
            <w:tcW w:w="18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uwzględniono w całości lub w części</w:t>
            </w:r>
          </w:p>
        </w:tc>
        <w:tc>
          <w:tcPr>
            <w:tcW w:w="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oddalono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odrzucono</w:t>
            </w: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F005F5" w:rsidRPr="00F005F5" w:rsidTr="002854AC">
        <w:trPr>
          <w:trHeight w:val="1124"/>
        </w:trPr>
        <w:tc>
          <w:tcPr>
            <w:tcW w:w="119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w tym przez zasądzenie kwoty pieniężnej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F005F5" w:rsidRPr="00F005F5" w:rsidTr="002854AC">
        <w:trPr>
          <w:trHeight w:val="465"/>
        </w:trPr>
        <w:tc>
          <w:tcPr>
            <w:tcW w:w="1193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2009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2 095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2 050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432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340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705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763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987 940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2 905,71</w:t>
            </w:r>
          </w:p>
        </w:tc>
      </w:tr>
      <w:tr w:rsidR="00F005F5" w:rsidRPr="00F005F5" w:rsidTr="002854AC">
        <w:trPr>
          <w:trHeight w:val="465"/>
        </w:trPr>
        <w:tc>
          <w:tcPr>
            <w:tcW w:w="11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2010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2 716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2 595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571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518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1 003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792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1 578 890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3 048,05</w:t>
            </w:r>
          </w:p>
        </w:tc>
      </w:tr>
      <w:tr w:rsidR="00F005F5" w:rsidRPr="00F005F5" w:rsidTr="002854AC">
        <w:trPr>
          <w:trHeight w:val="465"/>
        </w:trPr>
        <w:tc>
          <w:tcPr>
            <w:tcW w:w="11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2011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3 871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3 819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760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720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1 305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1 380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2 144 350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2 978,26</w:t>
            </w:r>
          </w:p>
        </w:tc>
      </w:tr>
      <w:tr w:rsidR="00F005F5" w:rsidRPr="00F005F5" w:rsidTr="002854AC">
        <w:trPr>
          <w:trHeight w:val="465"/>
        </w:trPr>
        <w:tc>
          <w:tcPr>
            <w:tcW w:w="11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2012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5 457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5 261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777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747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1 553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2 554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2 089 739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2 797,51</w:t>
            </w:r>
          </w:p>
        </w:tc>
      </w:tr>
      <w:tr w:rsidR="00F005F5" w:rsidRPr="00F005F5" w:rsidTr="002854AC">
        <w:trPr>
          <w:trHeight w:val="465"/>
        </w:trPr>
        <w:tc>
          <w:tcPr>
            <w:tcW w:w="11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2013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8 996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8 654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958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921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2 129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5 068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2 695 395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5F5" w:rsidRPr="00F005F5" w:rsidRDefault="00F005F5" w:rsidP="00F005F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005F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2 926,60</w:t>
            </w:r>
          </w:p>
        </w:tc>
      </w:tr>
    </w:tbl>
    <w:p w:rsidR="000A72A2" w:rsidRDefault="000A72A2" w:rsidP="00B4568D">
      <w:pPr>
        <w:jc w:val="both"/>
        <w:rPr>
          <w:rFonts w:ascii="Arial" w:hAnsi="Arial" w:cs="Arial"/>
        </w:rPr>
      </w:pPr>
    </w:p>
    <w:p w:rsidR="002C381D" w:rsidRDefault="002C381D" w:rsidP="00B4568D">
      <w:pPr>
        <w:jc w:val="both"/>
        <w:rPr>
          <w:rFonts w:ascii="Arial" w:hAnsi="Arial" w:cs="Arial"/>
        </w:rPr>
      </w:pPr>
    </w:p>
    <w:p w:rsidR="002C381D" w:rsidRDefault="002C381D" w:rsidP="00B4568D">
      <w:pPr>
        <w:jc w:val="both"/>
        <w:rPr>
          <w:rFonts w:ascii="Arial" w:hAnsi="Arial" w:cs="Arial"/>
        </w:rPr>
      </w:pPr>
      <w:r>
        <w:rPr>
          <w:noProof/>
          <w:lang w:eastAsia="pl-PL"/>
        </w:rPr>
        <w:drawing>
          <wp:inline distT="0" distB="0" distL="0" distR="0" wp14:anchorId="4BAE7A5D" wp14:editId="31078C50">
            <wp:extent cx="5724525" cy="3448050"/>
            <wp:effectExtent l="0" t="0" r="9525" b="19050"/>
            <wp:docPr id="1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C33390" w:rsidRDefault="00C33390" w:rsidP="00B4568D">
      <w:pPr>
        <w:jc w:val="both"/>
        <w:rPr>
          <w:rFonts w:ascii="Arial" w:hAnsi="Arial" w:cs="Arial"/>
        </w:rPr>
      </w:pPr>
    </w:p>
    <w:p w:rsidR="00C33390" w:rsidRDefault="00C33390" w:rsidP="00B4568D">
      <w:pPr>
        <w:jc w:val="both"/>
        <w:rPr>
          <w:rFonts w:ascii="Arial" w:hAnsi="Arial" w:cs="Arial"/>
        </w:rPr>
      </w:pPr>
    </w:p>
    <w:p w:rsidR="00C33390" w:rsidRDefault="00A80CD3" w:rsidP="00B4568D">
      <w:pPr>
        <w:jc w:val="both"/>
        <w:rPr>
          <w:rFonts w:ascii="Arial" w:hAnsi="Arial" w:cs="Arial"/>
        </w:rPr>
      </w:pPr>
      <w:r>
        <w:rPr>
          <w:noProof/>
          <w:lang w:eastAsia="pl-PL"/>
        </w:rPr>
        <w:lastRenderedPageBreak/>
        <w:drawing>
          <wp:inline distT="0" distB="0" distL="0" distR="0" wp14:anchorId="6274F087" wp14:editId="1253A1F7">
            <wp:extent cx="5638800" cy="3667125"/>
            <wp:effectExtent l="0" t="0" r="19050" b="9525"/>
            <wp:docPr id="2" name="Wykres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A80CD3" w:rsidRDefault="00A80CD3" w:rsidP="00B4568D">
      <w:pPr>
        <w:jc w:val="both"/>
        <w:rPr>
          <w:rFonts w:ascii="Arial" w:hAnsi="Arial" w:cs="Arial"/>
        </w:rPr>
      </w:pPr>
    </w:p>
    <w:p w:rsidR="00A80CD3" w:rsidRDefault="00F10939" w:rsidP="00B4568D">
      <w:pPr>
        <w:jc w:val="both"/>
        <w:rPr>
          <w:rFonts w:ascii="Arial" w:hAnsi="Arial" w:cs="Arial"/>
        </w:rPr>
      </w:pPr>
      <w:r>
        <w:rPr>
          <w:noProof/>
          <w:lang w:eastAsia="pl-PL"/>
        </w:rPr>
        <w:drawing>
          <wp:inline distT="0" distB="0" distL="0" distR="0" wp14:anchorId="76BCEF9D" wp14:editId="6C1E3D18">
            <wp:extent cx="5638800" cy="3714750"/>
            <wp:effectExtent l="0" t="0" r="19050" b="19050"/>
            <wp:docPr id="3" name="Wykres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4278BE" w:rsidRDefault="004278BE" w:rsidP="00B4568D">
      <w:pPr>
        <w:jc w:val="both"/>
        <w:rPr>
          <w:rFonts w:ascii="Arial" w:hAnsi="Arial" w:cs="Arial"/>
        </w:rPr>
      </w:pPr>
    </w:p>
    <w:p w:rsidR="004278BE" w:rsidRDefault="004278BE" w:rsidP="00B4568D">
      <w:pPr>
        <w:jc w:val="both"/>
        <w:rPr>
          <w:rFonts w:ascii="Arial" w:hAnsi="Arial" w:cs="Arial"/>
        </w:rPr>
      </w:pPr>
    </w:p>
    <w:p w:rsidR="004278BE" w:rsidRDefault="004278BE" w:rsidP="00B4568D">
      <w:pPr>
        <w:jc w:val="both"/>
        <w:rPr>
          <w:rFonts w:ascii="Arial" w:hAnsi="Arial" w:cs="Arial"/>
        </w:rPr>
      </w:pPr>
    </w:p>
    <w:p w:rsidR="004278BE" w:rsidRDefault="00453249" w:rsidP="00B4568D">
      <w:pPr>
        <w:jc w:val="both"/>
        <w:rPr>
          <w:rFonts w:ascii="Arial" w:hAnsi="Arial" w:cs="Arial"/>
        </w:rPr>
      </w:pPr>
      <w:r>
        <w:rPr>
          <w:noProof/>
          <w:lang w:eastAsia="pl-PL"/>
        </w:rPr>
        <w:lastRenderedPageBreak/>
        <w:drawing>
          <wp:inline distT="0" distB="0" distL="0" distR="0" wp14:anchorId="3AA0D1C4" wp14:editId="6DC8988C">
            <wp:extent cx="5810250" cy="3914775"/>
            <wp:effectExtent l="0" t="0" r="19050" b="9525"/>
            <wp:docPr id="4" name="Wykres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4278BE" w:rsidRDefault="004278BE" w:rsidP="00B4568D">
      <w:pPr>
        <w:jc w:val="both"/>
        <w:rPr>
          <w:rFonts w:ascii="Arial" w:hAnsi="Arial" w:cs="Arial"/>
        </w:rPr>
      </w:pPr>
    </w:p>
    <w:p w:rsidR="002854AC" w:rsidRDefault="002854AC" w:rsidP="00B4568D">
      <w:pPr>
        <w:jc w:val="both"/>
        <w:rPr>
          <w:rFonts w:ascii="Arial" w:hAnsi="Arial" w:cs="Arial"/>
        </w:rPr>
      </w:pPr>
    </w:p>
    <w:p w:rsidR="002854AC" w:rsidRDefault="002854AC" w:rsidP="00B4568D">
      <w:pPr>
        <w:jc w:val="both"/>
        <w:rPr>
          <w:rFonts w:ascii="Arial" w:hAnsi="Arial" w:cs="Arial"/>
        </w:rPr>
      </w:pPr>
    </w:p>
    <w:p w:rsidR="002854AC" w:rsidRDefault="002854AC" w:rsidP="00B4568D">
      <w:pPr>
        <w:jc w:val="both"/>
        <w:rPr>
          <w:rFonts w:ascii="Arial" w:hAnsi="Arial" w:cs="Arial"/>
        </w:rPr>
      </w:pPr>
    </w:p>
    <w:p w:rsidR="002854AC" w:rsidRDefault="002854AC" w:rsidP="00B4568D">
      <w:pPr>
        <w:jc w:val="both"/>
        <w:rPr>
          <w:rFonts w:ascii="Arial" w:hAnsi="Arial" w:cs="Arial"/>
        </w:rPr>
      </w:pPr>
    </w:p>
    <w:p w:rsidR="002854AC" w:rsidRDefault="002854AC" w:rsidP="00B4568D">
      <w:pPr>
        <w:jc w:val="both"/>
        <w:rPr>
          <w:rFonts w:ascii="Arial" w:hAnsi="Arial" w:cs="Arial"/>
        </w:rPr>
      </w:pPr>
    </w:p>
    <w:p w:rsidR="002854AC" w:rsidRDefault="002854AC" w:rsidP="00B4568D">
      <w:pPr>
        <w:jc w:val="both"/>
        <w:rPr>
          <w:rFonts w:ascii="Arial" w:hAnsi="Arial" w:cs="Arial"/>
        </w:rPr>
      </w:pPr>
    </w:p>
    <w:p w:rsidR="002854AC" w:rsidRDefault="002854AC" w:rsidP="00B4568D">
      <w:pPr>
        <w:jc w:val="both"/>
        <w:rPr>
          <w:rFonts w:ascii="Arial" w:hAnsi="Arial" w:cs="Arial"/>
        </w:rPr>
      </w:pPr>
    </w:p>
    <w:p w:rsidR="002854AC" w:rsidRDefault="002854AC" w:rsidP="00B4568D">
      <w:pPr>
        <w:jc w:val="both"/>
        <w:rPr>
          <w:rFonts w:ascii="Arial" w:hAnsi="Arial" w:cs="Arial"/>
        </w:rPr>
      </w:pPr>
    </w:p>
    <w:p w:rsidR="002854AC" w:rsidRDefault="002854AC" w:rsidP="00B4568D">
      <w:pPr>
        <w:jc w:val="both"/>
        <w:rPr>
          <w:rFonts w:ascii="Arial" w:hAnsi="Arial" w:cs="Arial"/>
        </w:rPr>
      </w:pPr>
    </w:p>
    <w:p w:rsidR="002854AC" w:rsidRDefault="002854AC" w:rsidP="00B4568D">
      <w:pPr>
        <w:jc w:val="both"/>
        <w:rPr>
          <w:rFonts w:ascii="Arial" w:hAnsi="Arial" w:cs="Arial"/>
        </w:rPr>
      </w:pPr>
    </w:p>
    <w:p w:rsidR="002854AC" w:rsidRDefault="002854AC" w:rsidP="00B4568D">
      <w:pPr>
        <w:jc w:val="both"/>
        <w:rPr>
          <w:rFonts w:ascii="Arial" w:hAnsi="Arial" w:cs="Arial"/>
        </w:rPr>
      </w:pPr>
    </w:p>
    <w:p w:rsidR="002854AC" w:rsidRDefault="002854AC" w:rsidP="00B4568D">
      <w:pPr>
        <w:jc w:val="both"/>
        <w:rPr>
          <w:rFonts w:ascii="Arial" w:hAnsi="Arial" w:cs="Arial"/>
        </w:rPr>
      </w:pPr>
    </w:p>
    <w:p w:rsidR="002854AC" w:rsidRDefault="002854AC" w:rsidP="00B4568D">
      <w:pPr>
        <w:jc w:val="both"/>
        <w:rPr>
          <w:rFonts w:ascii="Arial" w:hAnsi="Arial" w:cs="Arial"/>
        </w:rPr>
      </w:pPr>
    </w:p>
    <w:p w:rsidR="002854AC" w:rsidRDefault="002854AC" w:rsidP="00B4568D">
      <w:pPr>
        <w:jc w:val="both"/>
        <w:rPr>
          <w:rFonts w:ascii="Arial" w:hAnsi="Arial" w:cs="Arial"/>
        </w:rPr>
      </w:pPr>
    </w:p>
    <w:p w:rsidR="00A23715" w:rsidRPr="00B4568D" w:rsidRDefault="00874438" w:rsidP="00A23715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lastRenderedPageBreak/>
        <w:t>Tabl. 5</w:t>
      </w:r>
      <w:r w:rsidR="00A23715">
        <w:rPr>
          <w:rFonts w:ascii="Arial" w:hAnsi="Arial" w:cs="Arial"/>
          <w:b w:val="0"/>
          <w:sz w:val="22"/>
          <w:szCs w:val="22"/>
        </w:rPr>
        <w:t xml:space="preserve">. Struktura wpływu skarg na </w:t>
      </w:r>
      <w:r w:rsidR="00A23715" w:rsidRPr="00B4568D">
        <w:rPr>
          <w:rFonts w:ascii="Arial" w:hAnsi="Arial" w:cs="Arial"/>
          <w:b w:val="0"/>
          <w:sz w:val="22"/>
          <w:szCs w:val="22"/>
        </w:rPr>
        <w:t>przewlekłość postępowania sądowego</w:t>
      </w:r>
      <w:r w:rsidR="00A23715">
        <w:rPr>
          <w:rFonts w:ascii="Arial" w:hAnsi="Arial" w:cs="Arial"/>
          <w:b w:val="0"/>
          <w:sz w:val="22"/>
          <w:szCs w:val="22"/>
        </w:rPr>
        <w:t xml:space="preserve"> cywilnego </w:t>
      </w:r>
      <w:r w:rsidR="00933E32">
        <w:rPr>
          <w:rFonts w:ascii="Arial" w:hAnsi="Arial" w:cs="Arial"/>
          <w:b w:val="0"/>
          <w:sz w:val="22"/>
          <w:szCs w:val="22"/>
        </w:rPr>
        <w:br/>
      </w:r>
      <w:r w:rsidR="00A23715">
        <w:rPr>
          <w:rFonts w:ascii="Arial" w:hAnsi="Arial" w:cs="Arial"/>
          <w:b w:val="0"/>
          <w:sz w:val="22"/>
          <w:szCs w:val="22"/>
        </w:rPr>
        <w:t>w latach 2009-2013 (sądy apelacyjne i okręgowe łącznie)</w:t>
      </w:r>
    </w:p>
    <w:tbl>
      <w:tblPr>
        <w:tblW w:w="89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40"/>
        <w:gridCol w:w="1180"/>
        <w:gridCol w:w="1180"/>
        <w:gridCol w:w="1180"/>
        <w:gridCol w:w="1180"/>
        <w:gridCol w:w="1180"/>
      </w:tblGrid>
      <w:tr w:rsidR="0087789B" w:rsidRPr="0087789B" w:rsidTr="0087789B">
        <w:trPr>
          <w:trHeight w:val="765"/>
        </w:trPr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Wyszczególnienie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2009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2010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2011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2012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2013</w:t>
            </w:r>
          </w:p>
        </w:tc>
      </w:tr>
      <w:tr w:rsidR="0087789B" w:rsidRPr="0087789B" w:rsidTr="0087789B">
        <w:trPr>
          <w:trHeight w:val="645"/>
        </w:trPr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Ogółem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2 095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2 716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3 871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5 457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8 996</w:t>
            </w:r>
          </w:p>
        </w:tc>
      </w:tr>
      <w:tr w:rsidR="0087789B" w:rsidRPr="0087789B" w:rsidTr="0087789B">
        <w:trPr>
          <w:trHeight w:val="345"/>
        </w:trPr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w tym: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</w:tr>
      <w:tr w:rsidR="0087789B" w:rsidRPr="0087789B" w:rsidTr="0087789B">
        <w:trPr>
          <w:trHeight w:val="645"/>
        </w:trPr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89B" w:rsidRPr="0087789B" w:rsidRDefault="0087789B" w:rsidP="00E77DF8">
            <w:pPr>
              <w:spacing w:after="0" w:line="240" w:lineRule="auto"/>
              <w:ind w:leftChars="168" w:left="37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zbyt odległe wyznaczenie terminu pierwszej rozprawy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114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139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151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247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266</w:t>
            </w:r>
          </w:p>
        </w:tc>
      </w:tr>
      <w:tr w:rsidR="0087789B" w:rsidRPr="0087789B" w:rsidTr="0087789B">
        <w:trPr>
          <w:trHeight w:val="645"/>
        </w:trPr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89B" w:rsidRPr="0087789B" w:rsidRDefault="00E77DF8" w:rsidP="00E77DF8">
            <w:pPr>
              <w:spacing w:after="0" w:line="240" w:lineRule="auto"/>
              <w:ind w:leftChars="168" w:left="37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przewlekłość</w:t>
            </w:r>
            <w:r w:rsidR="0087789B" w:rsidRPr="0087789B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 xml:space="preserve"> trwania tzw. czynności wstępnych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161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157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192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309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1 072</w:t>
            </w:r>
          </w:p>
        </w:tc>
      </w:tr>
      <w:tr w:rsidR="0087789B" w:rsidRPr="0087789B" w:rsidTr="0087789B">
        <w:trPr>
          <w:trHeight w:val="645"/>
        </w:trPr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89B" w:rsidRPr="0087789B" w:rsidRDefault="0087789B" w:rsidP="00E77DF8">
            <w:pPr>
              <w:spacing w:after="0" w:line="240" w:lineRule="auto"/>
              <w:ind w:leftChars="168" w:left="37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przewlekłość postępowania wykonawczego sądu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231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303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334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522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863</w:t>
            </w:r>
          </w:p>
        </w:tc>
      </w:tr>
      <w:tr w:rsidR="0087789B" w:rsidRPr="0087789B" w:rsidTr="0087789B">
        <w:trPr>
          <w:trHeight w:val="645"/>
        </w:trPr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89B" w:rsidRPr="0087789B" w:rsidRDefault="0087789B" w:rsidP="00E77DF8">
            <w:pPr>
              <w:spacing w:after="0" w:line="240" w:lineRule="auto"/>
              <w:ind w:leftChars="168" w:left="37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przewlekłość postępowania wykonawczego komornika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212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290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449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486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477</w:t>
            </w:r>
          </w:p>
        </w:tc>
      </w:tr>
      <w:tr w:rsidR="0087789B" w:rsidRPr="0087789B" w:rsidTr="0087789B">
        <w:trPr>
          <w:trHeight w:val="645"/>
        </w:trPr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89B" w:rsidRPr="0087789B" w:rsidRDefault="0087789B" w:rsidP="00E77DF8">
            <w:pPr>
              <w:spacing w:after="0" w:line="240" w:lineRule="auto"/>
              <w:ind w:leftChars="168" w:left="37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bezczynność w podejmowaniu czynności procesowych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602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756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974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1 698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3 651</w:t>
            </w:r>
          </w:p>
        </w:tc>
      </w:tr>
      <w:tr w:rsidR="0087789B" w:rsidRPr="0087789B" w:rsidTr="0087789B">
        <w:trPr>
          <w:trHeight w:val="645"/>
        </w:trPr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89B" w:rsidRPr="0087789B" w:rsidRDefault="0087789B" w:rsidP="00E77DF8">
            <w:pPr>
              <w:spacing w:after="0" w:line="240" w:lineRule="auto"/>
              <w:ind w:leftChars="168" w:left="37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inne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775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1 071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1 771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2 195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789B" w:rsidRPr="0087789B" w:rsidRDefault="0087789B" w:rsidP="0087789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87789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2 667</w:t>
            </w:r>
          </w:p>
        </w:tc>
      </w:tr>
    </w:tbl>
    <w:p w:rsidR="002854AC" w:rsidRDefault="002854AC" w:rsidP="00B4568D">
      <w:pPr>
        <w:jc w:val="both"/>
        <w:rPr>
          <w:rFonts w:ascii="Arial" w:hAnsi="Arial" w:cs="Arial"/>
        </w:rPr>
      </w:pPr>
    </w:p>
    <w:p w:rsidR="002854AC" w:rsidRDefault="002854AC" w:rsidP="00B4568D">
      <w:pPr>
        <w:jc w:val="both"/>
        <w:rPr>
          <w:rFonts w:ascii="Arial" w:hAnsi="Arial" w:cs="Arial"/>
        </w:rPr>
      </w:pPr>
    </w:p>
    <w:p w:rsidR="003656C8" w:rsidRDefault="003656C8" w:rsidP="00B4568D">
      <w:pPr>
        <w:jc w:val="both"/>
        <w:rPr>
          <w:rFonts w:ascii="Arial" w:hAnsi="Arial" w:cs="Arial"/>
        </w:rPr>
      </w:pPr>
      <w:r>
        <w:rPr>
          <w:noProof/>
          <w:lang w:eastAsia="pl-PL"/>
        </w:rPr>
        <w:drawing>
          <wp:inline distT="0" distB="0" distL="0" distR="0" wp14:anchorId="0F0A78C0" wp14:editId="33262D28">
            <wp:extent cx="5676900" cy="3619500"/>
            <wp:effectExtent l="0" t="0" r="19050" b="19050"/>
            <wp:docPr id="5" name="Wykres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2854AC" w:rsidRDefault="002854AC" w:rsidP="00B4568D">
      <w:pPr>
        <w:jc w:val="both"/>
        <w:rPr>
          <w:rFonts w:ascii="Arial" w:hAnsi="Arial" w:cs="Arial"/>
        </w:rPr>
      </w:pPr>
    </w:p>
    <w:p w:rsidR="003656C8" w:rsidRDefault="003656C8" w:rsidP="00B4568D">
      <w:pPr>
        <w:jc w:val="both"/>
        <w:rPr>
          <w:rFonts w:ascii="Arial" w:hAnsi="Arial" w:cs="Arial"/>
        </w:rPr>
      </w:pPr>
    </w:p>
    <w:p w:rsidR="003656C8" w:rsidRDefault="003656C8" w:rsidP="00B4568D">
      <w:pPr>
        <w:jc w:val="both"/>
        <w:rPr>
          <w:rFonts w:ascii="Arial" w:hAnsi="Arial" w:cs="Arial"/>
        </w:rPr>
      </w:pPr>
      <w:r>
        <w:rPr>
          <w:noProof/>
          <w:lang w:eastAsia="pl-PL"/>
        </w:rPr>
        <w:drawing>
          <wp:inline distT="0" distB="0" distL="0" distR="0" wp14:anchorId="5A81CF77" wp14:editId="595824EF">
            <wp:extent cx="5145740" cy="3316663"/>
            <wp:effectExtent l="0" t="0" r="17145" b="17145"/>
            <wp:docPr id="6" name="Wykres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2854AC" w:rsidRDefault="002854AC" w:rsidP="00B4568D">
      <w:pPr>
        <w:jc w:val="both"/>
        <w:rPr>
          <w:rFonts w:ascii="Arial" w:hAnsi="Arial" w:cs="Arial"/>
        </w:rPr>
      </w:pPr>
    </w:p>
    <w:p w:rsidR="002854AC" w:rsidRDefault="002854AC" w:rsidP="00B4568D">
      <w:pPr>
        <w:jc w:val="both"/>
        <w:rPr>
          <w:rFonts w:ascii="Arial" w:hAnsi="Arial" w:cs="Arial"/>
        </w:rPr>
      </w:pPr>
    </w:p>
    <w:p w:rsidR="009559B3" w:rsidRDefault="009559B3" w:rsidP="00B4568D">
      <w:pPr>
        <w:jc w:val="both"/>
        <w:rPr>
          <w:rFonts w:ascii="Arial" w:hAnsi="Arial" w:cs="Arial"/>
        </w:rPr>
      </w:pPr>
    </w:p>
    <w:p w:rsidR="009559B3" w:rsidRDefault="009559B3" w:rsidP="00B4568D">
      <w:pPr>
        <w:jc w:val="both"/>
        <w:rPr>
          <w:rFonts w:ascii="Arial" w:hAnsi="Arial" w:cs="Arial"/>
        </w:rPr>
      </w:pPr>
    </w:p>
    <w:p w:rsidR="009559B3" w:rsidRDefault="009559B3" w:rsidP="00B4568D">
      <w:pPr>
        <w:jc w:val="both"/>
        <w:rPr>
          <w:rFonts w:ascii="Arial" w:hAnsi="Arial" w:cs="Arial"/>
        </w:rPr>
      </w:pPr>
    </w:p>
    <w:p w:rsidR="009559B3" w:rsidRDefault="009559B3" w:rsidP="00B4568D">
      <w:pPr>
        <w:jc w:val="both"/>
        <w:rPr>
          <w:rFonts w:ascii="Arial" w:hAnsi="Arial" w:cs="Arial"/>
        </w:rPr>
      </w:pPr>
    </w:p>
    <w:p w:rsidR="009559B3" w:rsidRDefault="009559B3" w:rsidP="00B4568D">
      <w:pPr>
        <w:jc w:val="both"/>
        <w:rPr>
          <w:rFonts w:ascii="Arial" w:hAnsi="Arial" w:cs="Arial"/>
        </w:rPr>
      </w:pPr>
    </w:p>
    <w:p w:rsidR="009559B3" w:rsidRDefault="009559B3" w:rsidP="00B4568D">
      <w:pPr>
        <w:jc w:val="both"/>
        <w:rPr>
          <w:rFonts w:ascii="Arial" w:hAnsi="Arial" w:cs="Arial"/>
        </w:rPr>
      </w:pPr>
    </w:p>
    <w:p w:rsidR="009559B3" w:rsidRDefault="009559B3" w:rsidP="00B4568D">
      <w:pPr>
        <w:jc w:val="both"/>
        <w:rPr>
          <w:rFonts w:ascii="Arial" w:hAnsi="Arial" w:cs="Arial"/>
        </w:rPr>
      </w:pPr>
    </w:p>
    <w:p w:rsidR="0032564F" w:rsidRDefault="0032564F" w:rsidP="00B4568D">
      <w:pPr>
        <w:jc w:val="both"/>
        <w:rPr>
          <w:rFonts w:ascii="Arial" w:hAnsi="Arial" w:cs="Arial"/>
        </w:rPr>
      </w:pPr>
    </w:p>
    <w:p w:rsidR="0032564F" w:rsidRDefault="0032564F" w:rsidP="00B4568D">
      <w:pPr>
        <w:jc w:val="both"/>
        <w:rPr>
          <w:rFonts w:ascii="Arial" w:hAnsi="Arial" w:cs="Arial"/>
        </w:rPr>
      </w:pPr>
    </w:p>
    <w:p w:rsidR="0032564F" w:rsidRDefault="0032564F" w:rsidP="00B4568D">
      <w:pPr>
        <w:jc w:val="both"/>
        <w:rPr>
          <w:rFonts w:ascii="Arial" w:hAnsi="Arial" w:cs="Arial"/>
        </w:rPr>
      </w:pPr>
    </w:p>
    <w:p w:rsidR="0032564F" w:rsidRDefault="0032564F" w:rsidP="00B4568D">
      <w:pPr>
        <w:jc w:val="both"/>
        <w:rPr>
          <w:rFonts w:ascii="Arial" w:hAnsi="Arial" w:cs="Arial"/>
        </w:rPr>
      </w:pPr>
    </w:p>
    <w:p w:rsidR="0032564F" w:rsidRDefault="0032564F" w:rsidP="00B4568D">
      <w:pPr>
        <w:jc w:val="both"/>
        <w:rPr>
          <w:rFonts w:ascii="Arial" w:hAnsi="Arial" w:cs="Arial"/>
        </w:rPr>
      </w:pPr>
    </w:p>
    <w:p w:rsidR="0032564F" w:rsidRDefault="0032564F" w:rsidP="00B4568D">
      <w:pPr>
        <w:jc w:val="both"/>
        <w:rPr>
          <w:rFonts w:ascii="Arial" w:hAnsi="Arial" w:cs="Arial"/>
        </w:rPr>
      </w:pPr>
    </w:p>
    <w:p w:rsidR="0032564F" w:rsidRDefault="0032564F" w:rsidP="00B4568D">
      <w:pPr>
        <w:jc w:val="both"/>
        <w:rPr>
          <w:rFonts w:ascii="Arial" w:hAnsi="Arial" w:cs="Arial"/>
        </w:rPr>
      </w:pPr>
    </w:p>
    <w:p w:rsidR="0032564F" w:rsidRPr="00B4568D" w:rsidRDefault="00874438" w:rsidP="0032564F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lastRenderedPageBreak/>
        <w:t>Tabl. 6</w:t>
      </w:r>
      <w:r w:rsidR="0032564F">
        <w:rPr>
          <w:rFonts w:ascii="Arial" w:hAnsi="Arial" w:cs="Arial"/>
          <w:b w:val="0"/>
          <w:sz w:val="22"/>
          <w:szCs w:val="22"/>
        </w:rPr>
        <w:t>. Odsetek</w:t>
      </w:r>
      <w:r w:rsidR="00736D2D">
        <w:rPr>
          <w:rFonts w:ascii="Arial" w:hAnsi="Arial" w:cs="Arial"/>
          <w:b w:val="0"/>
          <w:sz w:val="22"/>
          <w:szCs w:val="22"/>
        </w:rPr>
        <w:t xml:space="preserve"> </w:t>
      </w:r>
      <w:r w:rsidR="00736D2D" w:rsidRPr="00F64695">
        <w:rPr>
          <w:rFonts w:ascii="Arial" w:hAnsi="Arial" w:cs="Arial"/>
          <w:b w:val="0"/>
          <w:sz w:val="22"/>
          <w:szCs w:val="22"/>
        </w:rPr>
        <w:t xml:space="preserve">uwzględnionych </w:t>
      </w:r>
      <w:r w:rsidR="00736D2D">
        <w:rPr>
          <w:rFonts w:ascii="Arial" w:hAnsi="Arial" w:cs="Arial"/>
          <w:b w:val="0"/>
          <w:sz w:val="22"/>
          <w:szCs w:val="22"/>
        </w:rPr>
        <w:t xml:space="preserve">skarg na postępowanie cywilne w stosunku do liczby spraw </w:t>
      </w:r>
      <w:r w:rsidR="001D58C0">
        <w:rPr>
          <w:rFonts w:ascii="Arial" w:hAnsi="Arial" w:cs="Arial"/>
          <w:b w:val="0"/>
          <w:sz w:val="22"/>
          <w:szCs w:val="22"/>
        </w:rPr>
        <w:t>w głównych repertoriach</w:t>
      </w:r>
      <w:r w:rsidR="008C43EB" w:rsidRPr="008C43EB">
        <w:rPr>
          <w:rFonts w:ascii="Arial" w:hAnsi="Arial" w:cs="Arial"/>
          <w:b w:val="0"/>
          <w:sz w:val="22"/>
          <w:szCs w:val="22"/>
          <w:vertAlign w:val="superscript"/>
        </w:rPr>
        <w:t>*)</w:t>
      </w:r>
      <w:r w:rsidR="00337FE6">
        <w:rPr>
          <w:rFonts w:ascii="Arial" w:hAnsi="Arial" w:cs="Arial"/>
          <w:b w:val="0"/>
          <w:sz w:val="22"/>
          <w:szCs w:val="22"/>
        </w:rPr>
        <w:t xml:space="preserve"> załatwionych </w:t>
      </w:r>
      <w:r w:rsidR="008C43EB">
        <w:rPr>
          <w:rFonts w:ascii="Arial" w:hAnsi="Arial" w:cs="Arial"/>
          <w:b w:val="0"/>
          <w:sz w:val="22"/>
          <w:szCs w:val="22"/>
        </w:rPr>
        <w:t xml:space="preserve">w pierwszej instancji w sądach okręgowych </w:t>
      </w:r>
      <w:r w:rsidR="008C43EB">
        <w:rPr>
          <w:rFonts w:ascii="Arial" w:hAnsi="Arial" w:cs="Arial"/>
          <w:b w:val="0"/>
          <w:sz w:val="22"/>
          <w:szCs w:val="22"/>
        </w:rPr>
        <w:br/>
        <w:t>i rejonowych</w:t>
      </w:r>
    </w:p>
    <w:tbl>
      <w:tblPr>
        <w:tblW w:w="9087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709"/>
        <w:gridCol w:w="2709"/>
        <w:gridCol w:w="2709"/>
      </w:tblGrid>
      <w:tr w:rsidR="00F64695" w:rsidRPr="00F64695" w:rsidTr="00F64695">
        <w:trPr>
          <w:trHeight w:val="885"/>
        </w:trPr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695" w:rsidRPr="00F64695" w:rsidRDefault="00F64695" w:rsidP="00F646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6469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Lata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695" w:rsidRPr="00F64695" w:rsidRDefault="00F64695" w:rsidP="00F646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6469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Załatwienie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695" w:rsidRPr="00F64695" w:rsidRDefault="00F64695" w:rsidP="00F646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6469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Skargi uwzględnione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64695" w:rsidRPr="00F64695" w:rsidRDefault="00F64695" w:rsidP="007A7A8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6469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 xml:space="preserve">Odsetek </w:t>
            </w:r>
          </w:p>
        </w:tc>
      </w:tr>
      <w:tr w:rsidR="00F64695" w:rsidRPr="00F64695" w:rsidTr="00F64695">
        <w:trPr>
          <w:trHeight w:val="448"/>
        </w:trPr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695" w:rsidRPr="00F64695" w:rsidRDefault="00F64695" w:rsidP="00F646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6469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2009</w:t>
            </w:r>
          </w:p>
        </w:tc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4695" w:rsidRPr="00F64695" w:rsidRDefault="00F64695" w:rsidP="00F6469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6469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2 189 323</w:t>
            </w:r>
          </w:p>
        </w:tc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4695" w:rsidRPr="00F64695" w:rsidRDefault="00F64695" w:rsidP="00F6469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6469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432</w:t>
            </w:r>
          </w:p>
        </w:tc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4695" w:rsidRPr="00F64695" w:rsidRDefault="00F64695" w:rsidP="00F6469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6469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0,020%</w:t>
            </w:r>
          </w:p>
        </w:tc>
      </w:tr>
      <w:tr w:rsidR="00F64695" w:rsidRPr="00F64695" w:rsidTr="00F64695">
        <w:trPr>
          <w:trHeight w:val="448"/>
        </w:trPr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695" w:rsidRPr="00F64695" w:rsidRDefault="00F64695" w:rsidP="00F646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6469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2010</w:t>
            </w:r>
          </w:p>
        </w:tc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4695" w:rsidRPr="00F64695" w:rsidRDefault="00F64695" w:rsidP="00F6469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6469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2 746 918</w:t>
            </w:r>
          </w:p>
        </w:tc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4695" w:rsidRPr="00F64695" w:rsidRDefault="00F64695" w:rsidP="00F6469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6469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571</w:t>
            </w:r>
          </w:p>
        </w:tc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4695" w:rsidRPr="00F64695" w:rsidRDefault="00F64695" w:rsidP="00F6469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6469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0,021%</w:t>
            </w:r>
          </w:p>
        </w:tc>
      </w:tr>
      <w:tr w:rsidR="00F64695" w:rsidRPr="00F64695" w:rsidTr="00F64695">
        <w:trPr>
          <w:trHeight w:val="448"/>
        </w:trPr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695" w:rsidRPr="00F64695" w:rsidRDefault="00F64695" w:rsidP="00F646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6469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2011</w:t>
            </w:r>
          </w:p>
        </w:tc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4695" w:rsidRPr="00F64695" w:rsidRDefault="00F64695" w:rsidP="00F6469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6469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3 268 482</w:t>
            </w:r>
          </w:p>
        </w:tc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4695" w:rsidRPr="00F64695" w:rsidRDefault="00F64695" w:rsidP="00F6469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6469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760</w:t>
            </w:r>
          </w:p>
        </w:tc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4695" w:rsidRPr="00F64695" w:rsidRDefault="00F64695" w:rsidP="00F6469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6469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0,023%</w:t>
            </w:r>
          </w:p>
        </w:tc>
      </w:tr>
      <w:tr w:rsidR="00F64695" w:rsidRPr="00F64695" w:rsidTr="00F64695">
        <w:trPr>
          <w:trHeight w:val="448"/>
        </w:trPr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695" w:rsidRPr="00F64695" w:rsidRDefault="00F64695" w:rsidP="00F646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6469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2012</w:t>
            </w:r>
          </w:p>
        </w:tc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4695" w:rsidRPr="00F64695" w:rsidRDefault="00F64695" w:rsidP="00F6469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6469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4 073 176</w:t>
            </w:r>
          </w:p>
        </w:tc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4695" w:rsidRPr="00F64695" w:rsidRDefault="00F64695" w:rsidP="00F6469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6469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777</w:t>
            </w:r>
          </w:p>
        </w:tc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4695" w:rsidRPr="00F64695" w:rsidRDefault="00F64695" w:rsidP="00F6469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6469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0,019%</w:t>
            </w:r>
          </w:p>
        </w:tc>
      </w:tr>
      <w:tr w:rsidR="00F64695" w:rsidRPr="00F64695" w:rsidTr="00F64695">
        <w:trPr>
          <w:trHeight w:val="448"/>
        </w:trPr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695" w:rsidRPr="00F64695" w:rsidRDefault="00F64695" w:rsidP="00F646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6469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2013</w:t>
            </w:r>
          </w:p>
        </w:tc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4695" w:rsidRPr="00F64695" w:rsidRDefault="00F64695" w:rsidP="00F6469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6469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4 426 714</w:t>
            </w:r>
          </w:p>
        </w:tc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4695" w:rsidRPr="00F64695" w:rsidRDefault="00F64695" w:rsidP="00F6469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6469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958</w:t>
            </w:r>
          </w:p>
        </w:tc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4695" w:rsidRPr="00F64695" w:rsidRDefault="00F64695" w:rsidP="00F6469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6469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0,022%</w:t>
            </w:r>
          </w:p>
        </w:tc>
      </w:tr>
    </w:tbl>
    <w:p w:rsidR="0032564F" w:rsidRDefault="0032564F" w:rsidP="00B4568D">
      <w:pPr>
        <w:jc w:val="both"/>
        <w:rPr>
          <w:rFonts w:ascii="Arial" w:hAnsi="Arial" w:cs="Arial"/>
        </w:rPr>
      </w:pPr>
    </w:p>
    <w:p w:rsidR="0032564F" w:rsidRDefault="0032564F" w:rsidP="00B4568D">
      <w:pPr>
        <w:jc w:val="both"/>
        <w:rPr>
          <w:rFonts w:ascii="Arial" w:hAnsi="Arial" w:cs="Arial"/>
        </w:rPr>
      </w:pPr>
    </w:p>
    <w:p w:rsidR="009559B3" w:rsidRPr="00EB77DE" w:rsidRDefault="00EB77DE" w:rsidP="00B4568D">
      <w:pPr>
        <w:jc w:val="both"/>
        <w:rPr>
          <w:rFonts w:ascii="Arial Narrow" w:hAnsi="Arial Narrow" w:cs="Arial"/>
          <w:i/>
          <w:sz w:val="20"/>
          <w:szCs w:val="20"/>
        </w:rPr>
      </w:pPr>
      <w:r w:rsidRPr="00EB77DE">
        <w:rPr>
          <w:rFonts w:ascii="Arial Narrow" w:hAnsi="Arial Narrow" w:cs="Arial"/>
          <w:i/>
          <w:sz w:val="20"/>
          <w:szCs w:val="20"/>
          <w:vertAlign w:val="superscript"/>
        </w:rPr>
        <w:t xml:space="preserve">*) </w:t>
      </w:r>
      <w:r w:rsidRPr="00EB77DE">
        <w:rPr>
          <w:rFonts w:ascii="Arial Narrow" w:hAnsi="Arial Narrow" w:cs="Arial"/>
          <w:i/>
          <w:sz w:val="20"/>
          <w:szCs w:val="20"/>
        </w:rPr>
        <w:t xml:space="preserve">dla sądów okręgowych: </w:t>
      </w:r>
      <w:r>
        <w:rPr>
          <w:rFonts w:ascii="Arial Narrow" w:hAnsi="Arial Narrow" w:cs="Arial"/>
          <w:i/>
          <w:sz w:val="20"/>
          <w:szCs w:val="20"/>
        </w:rPr>
        <w:t xml:space="preserve">C, CG-G, </w:t>
      </w:r>
      <w:proofErr w:type="spellStart"/>
      <w:r>
        <w:rPr>
          <w:rFonts w:ascii="Arial Narrow" w:hAnsi="Arial Narrow" w:cs="Arial"/>
          <w:i/>
          <w:sz w:val="20"/>
          <w:szCs w:val="20"/>
        </w:rPr>
        <w:t>Ns</w:t>
      </w:r>
      <w:proofErr w:type="spellEnd"/>
      <w:r>
        <w:rPr>
          <w:rFonts w:ascii="Arial Narrow" w:hAnsi="Arial Narrow" w:cs="Arial"/>
          <w:i/>
          <w:sz w:val="20"/>
          <w:szCs w:val="20"/>
        </w:rPr>
        <w:t xml:space="preserve">, </w:t>
      </w:r>
      <w:proofErr w:type="spellStart"/>
      <w:r>
        <w:rPr>
          <w:rFonts w:ascii="Arial Narrow" w:hAnsi="Arial Narrow" w:cs="Arial"/>
          <w:i/>
          <w:sz w:val="20"/>
          <w:szCs w:val="20"/>
        </w:rPr>
        <w:t>Nc</w:t>
      </w:r>
      <w:proofErr w:type="spellEnd"/>
      <w:r>
        <w:rPr>
          <w:rFonts w:ascii="Arial Narrow" w:hAnsi="Arial Narrow" w:cs="Arial"/>
          <w:i/>
          <w:sz w:val="20"/>
          <w:szCs w:val="20"/>
        </w:rPr>
        <w:t>, Co; dla są</w:t>
      </w:r>
      <w:r w:rsidR="001D58C0">
        <w:rPr>
          <w:rFonts w:ascii="Arial Narrow" w:hAnsi="Arial Narrow" w:cs="Arial"/>
          <w:i/>
          <w:sz w:val="20"/>
          <w:szCs w:val="20"/>
        </w:rPr>
        <w:t xml:space="preserve">dów rejonowych: C, CG-G, </w:t>
      </w:r>
      <w:proofErr w:type="spellStart"/>
      <w:r w:rsidR="001D58C0">
        <w:rPr>
          <w:rFonts w:ascii="Arial Narrow" w:hAnsi="Arial Narrow" w:cs="Arial"/>
          <w:i/>
          <w:sz w:val="20"/>
          <w:szCs w:val="20"/>
        </w:rPr>
        <w:t>Ns</w:t>
      </w:r>
      <w:proofErr w:type="spellEnd"/>
      <w:r w:rsidR="001D58C0">
        <w:rPr>
          <w:rFonts w:ascii="Arial Narrow" w:hAnsi="Arial Narrow" w:cs="Arial"/>
          <w:i/>
          <w:sz w:val="20"/>
          <w:szCs w:val="20"/>
        </w:rPr>
        <w:t xml:space="preserve">, </w:t>
      </w:r>
      <w:proofErr w:type="spellStart"/>
      <w:r w:rsidR="001D58C0">
        <w:rPr>
          <w:rFonts w:ascii="Arial Narrow" w:hAnsi="Arial Narrow" w:cs="Arial"/>
          <w:i/>
          <w:sz w:val="20"/>
          <w:szCs w:val="20"/>
        </w:rPr>
        <w:t>Nc</w:t>
      </w:r>
      <w:proofErr w:type="spellEnd"/>
    </w:p>
    <w:p w:rsidR="009559B3" w:rsidRDefault="009559B3" w:rsidP="00B4568D">
      <w:pPr>
        <w:jc w:val="both"/>
        <w:rPr>
          <w:rFonts w:ascii="Arial" w:hAnsi="Arial" w:cs="Arial"/>
        </w:rPr>
      </w:pPr>
    </w:p>
    <w:p w:rsidR="009559B3" w:rsidRDefault="009559B3" w:rsidP="00B4568D">
      <w:pPr>
        <w:jc w:val="both"/>
        <w:rPr>
          <w:rFonts w:ascii="Arial" w:hAnsi="Arial" w:cs="Arial"/>
        </w:rPr>
      </w:pPr>
    </w:p>
    <w:p w:rsidR="009559B3" w:rsidRDefault="0032564F" w:rsidP="00B4568D">
      <w:pPr>
        <w:jc w:val="both"/>
        <w:rPr>
          <w:rFonts w:ascii="Arial" w:hAnsi="Arial" w:cs="Arial"/>
        </w:rPr>
      </w:pPr>
      <w:r>
        <w:rPr>
          <w:noProof/>
          <w:lang w:eastAsia="pl-PL"/>
        </w:rPr>
        <w:drawing>
          <wp:inline distT="0" distB="0" distL="0" distR="0" wp14:anchorId="6B02A50F" wp14:editId="46E5A8BA">
            <wp:extent cx="5924550" cy="4086225"/>
            <wp:effectExtent l="0" t="0" r="19050" b="9525"/>
            <wp:docPr id="8" name="Wykres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:rsidR="009559B3" w:rsidRDefault="009559B3" w:rsidP="00B4568D">
      <w:pPr>
        <w:jc w:val="both"/>
        <w:rPr>
          <w:rFonts w:ascii="Arial" w:hAnsi="Arial" w:cs="Arial"/>
        </w:rPr>
      </w:pPr>
    </w:p>
    <w:p w:rsidR="009559B3" w:rsidRDefault="003774A5" w:rsidP="00B4568D">
      <w:pPr>
        <w:jc w:val="both"/>
        <w:rPr>
          <w:rFonts w:ascii="Arial" w:hAnsi="Arial" w:cs="Arial"/>
        </w:rPr>
      </w:pPr>
      <w:r>
        <w:rPr>
          <w:noProof/>
          <w:lang w:eastAsia="pl-PL"/>
        </w:rPr>
        <w:lastRenderedPageBreak/>
        <w:drawing>
          <wp:inline distT="0" distB="0" distL="0" distR="0" wp14:anchorId="0D40BD62" wp14:editId="3A3A96A3">
            <wp:extent cx="5734050" cy="3609975"/>
            <wp:effectExtent l="0" t="0" r="19050" b="9525"/>
            <wp:docPr id="9" name="Wykres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9559B3" w:rsidRDefault="009559B3" w:rsidP="00B4568D">
      <w:pPr>
        <w:jc w:val="both"/>
        <w:rPr>
          <w:rFonts w:ascii="Arial" w:hAnsi="Arial" w:cs="Arial"/>
        </w:rPr>
      </w:pPr>
    </w:p>
    <w:p w:rsidR="002854AC" w:rsidRDefault="001755A3" w:rsidP="00B4568D">
      <w:pPr>
        <w:jc w:val="both"/>
        <w:rPr>
          <w:rFonts w:ascii="Arial" w:hAnsi="Arial" w:cs="Arial"/>
        </w:rPr>
      </w:pPr>
      <w:r>
        <w:rPr>
          <w:noProof/>
          <w:lang w:eastAsia="pl-PL"/>
        </w:rPr>
        <w:drawing>
          <wp:inline distT="0" distB="0" distL="0" distR="0" wp14:anchorId="6F554618" wp14:editId="7D3E965D">
            <wp:extent cx="5734050" cy="3486150"/>
            <wp:effectExtent l="0" t="0" r="19050" b="19050"/>
            <wp:docPr id="10" name="Wykres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:rsidR="00E2271D" w:rsidRPr="00C901B0" w:rsidRDefault="00E2271D" w:rsidP="007E1F57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C901B0">
        <w:rPr>
          <w:rFonts w:ascii="Arial Narrow" w:hAnsi="Arial Narrow" w:cs="Arial"/>
          <w:sz w:val="20"/>
          <w:szCs w:val="20"/>
        </w:rPr>
        <w:t>opracowanie:</w:t>
      </w:r>
    </w:p>
    <w:p w:rsidR="00E2271D" w:rsidRPr="00C901B0" w:rsidRDefault="007E1F57" w:rsidP="007E1F57">
      <w:pPr>
        <w:spacing w:after="0" w:line="240" w:lineRule="auto"/>
        <w:jc w:val="both"/>
        <w:rPr>
          <w:rFonts w:ascii="Arial Narrow" w:hAnsi="Arial Narrow" w:cs="Arial"/>
          <w:i/>
          <w:sz w:val="20"/>
          <w:szCs w:val="20"/>
        </w:rPr>
      </w:pPr>
      <w:r w:rsidRPr="00C901B0">
        <w:rPr>
          <w:rFonts w:ascii="Arial Narrow" w:hAnsi="Arial Narrow" w:cs="Arial"/>
          <w:i/>
          <w:sz w:val="20"/>
          <w:szCs w:val="20"/>
        </w:rPr>
        <w:t xml:space="preserve">/-/ </w:t>
      </w:r>
      <w:r w:rsidR="00E2271D" w:rsidRPr="00C901B0">
        <w:rPr>
          <w:rFonts w:ascii="Arial Narrow" w:hAnsi="Arial Narrow" w:cs="Arial"/>
          <w:i/>
          <w:sz w:val="20"/>
          <w:szCs w:val="20"/>
        </w:rPr>
        <w:t>Robert Bieługa</w:t>
      </w:r>
    </w:p>
    <w:p w:rsidR="00C901B0" w:rsidRPr="00C901B0" w:rsidRDefault="00E2271D" w:rsidP="00C901B0">
      <w:pPr>
        <w:spacing w:after="0" w:line="240" w:lineRule="auto"/>
        <w:ind w:left="4248" w:hanging="4248"/>
        <w:jc w:val="both"/>
        <w:rPr>
          <w:rFonts w:ascii="Arial Narrow" w:hAnsi="Arial Narrow" w:cs="Arial"/>
          <w:sz w:val="20"/>
          <w:szCs w:val="20"/>
        </w:rPr>
      </w:pPr>
      <w:r w:rsidRPr="00C901B0">
        <w:rPr>
          <w:rFonts w:ascii="Arial Narrow" w:hAnsi="Arial Narrow" w:cs="Arial"/>
          <w:sz w:val="20"/>
          <w:szCs w:val="20"/>
        </w:rPr>
        <w:t>gł. specjalista</w:t>
      </w:r>
      <w:r w:rsidR="007E1F57" w:rsidRPr="00C901B0">
        <w:rPr>
          <w:rFonts w:ascii="Arial Narrow" w:hAnsi="Arial Narrow" w:cs="Arial"/>
          <w:sz w:val="20"/>
          <w:szCs w:val="20"/>
        </w:rPr>
        <w:tab/>
      </w:r>
      <w:r w:rsidR="007E1F57" w:rsidRPr="00C901B0">
        <w:rPr>
          <w:rFonts w:ascii="Arial Narrow" w:hAnsi="Arial Narrow" w:cs="Arial"/>
          <w:sz w:val="20"/>
          <w:szCs w:val="20"/>
        </w:rPr>
        <w:tab/>
      </w:r>
      <w:r w:rsidR="007E1F57" w:rsidRPr="00C901B0">
        <w:rPr>
          <w:rFonts w:ascii="Arial Narrow" w:hAnsi="Arial Narrow" w:cs="Arial"/>
          <w:sz w:val="20"/>
          <w:szCs w:val="20"/>
        </w:rPr>
        <w:tab/>
      </w:r>
      <w:r w:rsidR="007E1F57" w:rsidRPr="00C901B0">
        <w:rPr>
          <w:rFonts w:ascii="Arial Narrow" w:hAnsi="Arial Narrow" w:cs="Arial"/>
          <w:sz w:val="20"/>
          <w:szCs w:val="20"/>
        </w:rPr>
        <w:tab/>
      </w:r>
      <w:r w:rsidR="007E1F57" w:rsidRPr="00C901B0">
        <w:rPr>
          <w:rFonts w:ascii="Arial Narrow" w:hAnsi="Arial Narrow" w:cs="Arial"/>
          <w:sz w:val="20"/>
          <w:szCs w:val="20"/>
        </w:rPr>
        <w:tab/>
      </w:r>
    </w:p>
    <w:p w:rsidR="00C901B0" w:rsidRPr="00C901B0" w:rsidRDefault="00C901B0" w:rsidP="00C901B0">
      <w:pPr>
        <w:spacing w:after="0" w:line="240" w:lineRule="auto"/>
        <w:ind w:left="4248" w:hanging="4248"/>
        <w:jc w:val="both"/>
        <w:rPr>
          <w:rFonts w:ascii="Arial Narrow" w:hAnsi="Arial Narrow" w:cs="Arial"/>
          <w:sz w:val="20"/>
          <w:szCs w:val="20"/>
        </w:rPr>
      </w:pPr>
    </w:p>
    <w:p w:rsidR="00C901B0" w:rsidRPr="00C901B0" w:rsidRDefault="007E1F57" w:rsidP="00C901B0">
      <w:pPr>
        <w:spacing w:after="0" w:line="240" w:lineRule="auto"/>
        <w:ind w:left="9204" w:hanging="4248"/>
        <w:jc w:val="center"/>
        <w:rPr>
          <w:rFonts w:ascii="Arial Narrow" w:hAnsi="Arial Narrow" w:cs="Arial"/>
          <w:sz w:val="20"/>
          <w:szCs w:val="20"/>
        </w:rPr>
      </w:pPr>
      <w:r w:rsidRPr="00C901B0">
        <w:rPr>
          <w:rFonts w:ascii="Arial Narrow" w:hAnsi="Arial Narrow" w:cs="Arial"/>
          <w:sz w:val="20"/>
          <w:szCs w:val="20"/>
        </w:rPr>
        <w:t>NACZELNIK WYDZIAŁU</w:t>
      </w:r>
    </w:p>
    <w:p w:rsidR="00E2271D" w:rsidRPr="00C901B0" w:rsidRDefault="00C901B0" w:rsidP="00C901B0">
      <w:pPr>
        <w:spacing w:after="0" w:line="240" w:lineRule="auto"/>
        <w:ind w:left="9204" w:hanging="4248"/>
        <w:jc w:val="center"/>
        <w:rPr>
          <w:rFonts w:ascii="Arial Narrow" w:hAnsi="Arial Narrow" w:cs="Arial"/>
          <w:sz w:val="20"/>
          <w:szCs w:val="20"/>
        </w:rPr>
      </w:pPr>
      <w:r w:rsidRPr="00C901B0">
        <w:rPr>
          <w:rFonts w:ascii="Arial Narrow" w:hAnsi="Arial Narrow" w:cs="Arial"/>
          <w:sz w:val="20"/>
          <w:szCs w:val="20"/>
        </w:rPr>
        <w:t>STAT</w:t>
      </w:r>
      <w:r w:rsidR="007E1F57" w:rsidRPr="00C901B0">
        <w:rPr>
          <w:rFonts w:ascii="Arial Narrow" w:hAnsi="Arial Narrow" w:cs="Arial"/>
          <w:sz w:val="20"/>
          <w:szCs w:val="20"/>
        </w:rPr>
        <w:t>Y</w:t>
      </w:r>
      <w:r w:rsidRPr="00C901B0">
        <w:rPr>
          <w:rFonts w:ascii="Arial Narrow" w:hAnsi="Arial Narrow" w:cs="Arial"/>
          <w:sz w:val="20"/>
          <w:szCs w:val="20"/>
        </w:rPr>
        <w:t>S</w:t>
      </w:r>
      <w:r w:rsidR="007E1F57" w:rsidRPr="00C901B0">
        <w:rPr>
          <w:rFonts w:ascii="Arial Narrow" w:hAnsi="Arial Narrow" w:cs="Arial"/>
          <w:sz w:val="20"/>
          <w:szCs w:val="20"/>
        </w:rPr>
        <w:t>TYCZNEJ INFOR</w:t>
      </w:r>
      <w:r w:rsidRPr="00C901B0">
        <w:rPr>
          <w:rFonts w:ascii="Arial Narrow" w:hAnsi="Arial Narrow" w:cs="Arial"/>
          <w:sz w:val="20"/>
          <w:szCs w:val="20"/>
        </w:rPr>
        <w:t>MACJI ZARZĄDCZEJ</w:t>
      </w:r>
    </w:p>
    <w:p w:rsidR="00C901B0" w:rsidRPr="00C901B0" w:rsidRDefault="00C901B0" w:rsidP="00C901B0">
      <w:pPr>
        <w:spacing w:after="0" w:line="240" w:lineRule="auto"/>
        <w:ind w:left="4956"/>
        <w:jc w:val="center"/>
        <w:rPr>
          <w:rFonts w:ascii="Arial Narrow" w:hAnsi="Arial Narrow" w:cs="Arial"/>
          <w:i/>
          <w:sz w:val="20"/>
          <w:szCs w:val="20"/>
        </w:rPr>
      </w:pPr>
      <w:r w:rsidRPr="00C901B0">
        <w:rPr>
          <w:rFonts w:ascii="Arial Narrow" w:hAnsi="Arial Narrow" w:cs="Arial"/>
          <w:i/>
          <w:sz w:val="20"/>
          <w:szCs w:val="20"/>
        </w:rPr>
        <w:t>/-/ Justyna Kowalczyk</w:t>
      </w:r>
    </w:p>
    <w:sectPr w:rsidR="00C901B0" w:rsidRPr="00C901B0" w:rsidSect="00DC36A5">
      <w:footerReference w:type="default" r:id="rId36"/>
      <w:headerReference w:type="first" r:id="rId3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ED7" w:rsidRDefault="00C75ED7" w:rsidP="008A4898">
      <w:pPr>
        <w:spacing w:after="0" w:line="240" w:lineRule="auto"/>
      </w:pPr>
      <w:r>
        <w:separator/>
      </w:r>
    </w:p>
  </w:endnote>
  <w:endnote w:type="continuationSeparator" w:id="0">
    <w:p w:rsidR="00C75ED7" w:rsidRDefault="00C75ED7" w:rsidP="008A48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3839363"/>
      <w:docPartObj>
        <w:docPartGallery w:val="Page Numbers (Bottom of Page)"/>
        <w:docPartUnique/>
      </w:docPartObj>
    </w:sdtPr>
    <w:sdtEndPr/>
    <w:sdtContent>
      <w:p w:rsidR="00C75ED7" w:rsidRDefault="00C75ED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0BEF">
          <w:rPr>
            <w:noProof/>
          </w:rPr>
          <w:t>17</w:t>
        </w:r>
        <w:r>
          <w:fldChar w:fldCharType="end"/>
        </w:r>
      </w:p>
    </w:sdtContent>
  </w:sdt>
  <w:p w:rsidR="00C75ED7" w:rsidRDefault="00C75E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ED7" w:rsidRDefault="00C75ED7" w:rsidP="008A4898">
      <w:pPr>
        <w:spacing w:after="0" w:line="240" w:lineRule="auto"/>
      </w:pPr>
      <w:r>
        <w:separator/>
      </w:r>
    </w:p>
  </w:footnote>
  <w:footnote w:type="continuationSeparator" w:id="0">
    <w:p w:rsidR="00C75ED7" w:rsidRDefault="00C75ED7" w:rsidP="008A48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ED7" w:rsidRDefault="00C30AFC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3546AC" wp14:editId="41E50449">
              <wp:simplePos x="0" y="0"/>
              <wp:positionH relativeFrom="column">
                <wp:posOffset>-909320</wp:posOffset>
              </wp:positionH>
              <wp:positionV relativeFrom="paragraph">
                <wp:posOffset>-449580</wp:posOffset>
              </wp:positionV>
              <wp:extent cx="7600950" cy="828675"/>
              <wp:effectExtent l="0" t="0" r="0" b="9525"/>
              <wp:wrapNone/>
              <wp:docPr id="30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00950" cy="828675"/>
                      </a:xfrm>
                      <a:prstGeom prst="rect">
                        <a:avLst/>
                      </a:prstGeom>
                      <a:solidFill>
                        <a:schemeClr val="accent5">
                          <a:lumMod val="50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41156" w:rsidRDefault="00B41156" w:rsidP="00B41156">
                          <w:pPr>
                            <w:spacing w:after="0" w:line="240" w:lineRule="auto"/>
                            <w:jc w:val="center"/>
                            <w:rPr>
                              <w:b/>
                              <w:i/>
                              <w:sz w:val="24"/>
                              <w:szCs w:val="24"/>
                            </w:rPr>
                          </w:pPr>
                        </w:p>
                        <w:p w:rsidR="00C30AFC" w:rsidRDefault="00B41156" w:rsidP="00B41156">
                          <w:pPr>
                            <w:spacing w:after="0" w:line="240" w:lineRule="auto"/>
                            <w:jc w:val="center"/>
                            <w:rPr>
                              <w:b/>
                              <w:i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221D87">
                            <w:rPr>
                              <w:b/>
                              <w:i/>
                              <w:color w:val="FFFFFF" w:themeColor="background1"/>
                              <w:sz w:val="28"/>
                              <w:szCs w:val="28"/>
                            </w:rPr>
                            <w:t>DEPARTAMENT STRATEGII I DEREGULACJI</w:t>
                          </w:r>
                        </w:p>
                        <w:p w:rsidR="00221D87" w:rsidRPr="00221D87" w:rsidRDefault="00221D87" w:rsidP="00B41156">
                          <w:pPr>
                            <w:spacing w:after="0" w:line="240" w:lineRule="auto"/>
                            <w:jc w:val="center"/>
                            <w:rPr>
                              <w:b/>
                              <w:i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i/>
                              <w:color w:val="FFFFFF" w:themeColor="background1"/>
                              <w:sz w:val="28"/>
                              <w:szCs w:val="28"/>
                            </w:rPr>
                            <w:t xml:space="preserve">pod kierownictwem </w:t>
                          </w:r>
                          <w:r w:rsidR="0097588E">
                            <w:rPr>
                              <w:b/>
                              <w:i/>
                              <w:color w:val="FFFFFF" w:themeColor="background1"/>
                              <w:sz w:val="28"/>
                              <w:szCs w:val="28"/>
                            </w:rPr>
                            <w:t xml:space="preserve">Dyrektora - </w:t>
                          </w:r>
                          <w:r>
                            <w:rPr>
                              <w:b/>
                              <w:i/>
                              <w:color w:val="FFFFFF" w:themeColor="background1"/>
                              <w:sz w:val="28"/>
                              <w:szCs w:val="28"/>
                            </w:rPr>
                            <w:t>dr Adama Niedzielskiego</w:t>
                          </w:r>
                        </w:p>
                        <w:p w:rsidR="00C30AFC" w:rsidRDefault="00C30AFC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71.6pt;margin-top:-35.4pt;width:598.5pt;height:6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" fillcolor="#205867 [1608]" stroked="f">
              <v:textbox>
                <w:txbxContent>
                  <w:p w:rsidR="00B41156" w:rsidRDefault="00B41156" w:rsidP="00B41156">
                    <w:pPr>
                      <w:spacing w:after="0" w:line="240" w:lineRule="auto"/>
                      <w:jc w:val="center"/>
                      <w:rPr>
                        <w:b/>
                        <w:i/>
                        <w:sz w:val="24"/>
                        <w:szCs w:val="24"/>
                      </w:rPr>
                    </w:pPr>
                  </w:p>
                  <w:p w:rsidR="00C30AFC" w:rsidRDefault="00B41156" w:rsidP="00B41156">
                    <w:pPr>
                      <w:spacing w:after="0" w:line="240" w:lineRule="auto"/>
                      <w:jc w:val="center"/>
                      <w:rPr>
                        <w:b/>
                        <w:i/>
                        <w:color w:val="FFFFFF" w:themeColor="background1"/>
                        <w:sz w:val="28"/>
                        <w:szCs w:val="28"/>
                      </w:rPr>
                    </w:pPr>
                    <w:r w:rsidRPr="00221D87">
                      <w:rPr>
                        <w:b/>
                        <w:i/>
                        <w:color w:val="FFFFFF" w:themeColor="background1"/>
                        <w:sz w:val="28"/>
                        <w:szCs w:val="28"/>
                      </w:rPr>
                      <w:t>DEPARTAMENT STRATEGII I DEREGULACJI</w:t>
                    </w:r>
                  </w:p>
                  <w:p w:rsidR="00221D87" w:rsidRPr="00221D87" w:rsidRDefault="00221D87" w:rsidP="00B41156">
                    <w:pPr>
                      <w:spacing w:after="0" w:line="240" w:lineRule="auto"/>
                      <w:jc w:val="center"/>
                      <w:rPr>
                        <w:b/>
                        <w:i/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b/>
                        <w:i/>
                        <w:color w:val="FFFFFF" w:themeColor="background1"/>
                        <w:sz w:val="28"/>
                        <w:szCs w:val="28"/>
                      </w:rPr>
                      <w:t xml:space="preserve">pod kierownictwem </w:t>
                    </w:r>
                    <w:r w:rsidR="0097588E">
                      <w:rPr>
                        <w:b/>
                        <w:i/>
                        <w:color w:val="FFFFFF" w:themeColor="background1"/>
                        <w:sz w:val="28"/>
                        <w:szCs w:val="28"/>
                      </w:rPr>
                      <w:t xml:space="preserve">Dyrektora - </w:t>
                    </w:r>
                    <w:r>
                      <w:rPr>
                        <w:b/>
                        <w:i/>
                        <w:color w:val="FFFFFF" w:themeColor="background1"/>
                        <w:sz w:val="28"/>
                        <w:szCs w:val="28"/>
                      </w:rPr>
                      <w:t>dr Adama Niedzielskiego</w:t>
                    </w:r>
                  </w:p>
                  <w:p w:rsidR="00C30AFC" w:rsidRDefault="00C30AFC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D671B"/>
    <w:multiLevelType w:val="hybridMultilevel"/>
    <w:tmpl w:val="4A68E0AE"/>
    <w:lvl w:ilvl="0" w:tplc="927639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8D1528"/>
    <w:multiLevelType w:val="hybridMultilevel"/>
    <w:tmpl w:val="5C92B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9CA44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72C"/>
    <w:rsid w:val="0002204D"/>
    <w:rsid w:val="00026657"/>
    <w:rsid w:val="00081221"/>
    <w:rsid w:val="000A72A2"/>
    <w:rsid w:val="000C0437"/>
    <w:rsid w:val="00106F45"/>
    <w:rsid w:val="00132690"/>
    <w:rsid w:val="0013783E"/>
    <w:rsid w:val="001755A3"/>
    <w:rsid w:val="001A5D20"/>
    <w:rsid w:val="001A742E"/>
    <w:rsid w:val="001D58C0"/>
    <w:rsid w:val="001E30A5"/>
    <w:rsid w:val="00221D87"/>
    <w:rsid w:val="00232817"/>
    <w:rsid w:val="00233846"/>
    <w:rsid w:val="0023472C"/>
    <w:rsid w:val="00270BEF"/>
    <w:rsid w:val="00272A8C"/>
    <w:rsid w:val="002741DF"/>
    <w:rsid w:val="002854AC"/>
    <w:rsid w:val="00286FA0"/>
    <w:rsid w:val="002C0AE2"/>
    <w:rsid w:val="002C381D"/>
    <w:rsid w:val="002D6220"/>
    <w:rsid w:val="0032564F"/>
    <w:rsid w:val="00325B9C"/>
    <w:rsid w:val="00327C5E"/>
    <w:rsid w:val="00337FE6"/>
    <w:rsid w:val="00360AAF"/>
    <w:rsid w:val="003656C8"/>
    <w:rsid w:val="003774A5"/>
    <w:rsid w:val="003B5C4F"/>
    <w:rsid w:val="003C73CC"/>
    <w:rsid w:val="00410731"/>
    <w:rsid w:val="004278BE"/>
    <w:rsid w:val="00453249"/>
    <w:rsid w:val="00491914"/>
    <w:rsid w:val="00497820"/>
    <w:rsid w:val="004A7129"/>
    <w:rsid w:val="004F5F2C"/>
    <w:rsid w:val="005018EC"/>
    <w:rsid w:val="005021E9"/>
    <w:rsid w:val="00536163"/>
    <w:rsid w:val="00541740"/>
    <w:rsid w:val="00546259"/>
    <w:rsid w:val="00553303"/>
    <w:rsid w:val="00561A43"/>
    <w:rsid w:val="00575A05"/>
    <w:rsid w:val="005A17D9"/>
    <w:rsid w:val="005C4521"/>
    <w:rsid w:val="005F7634"/>
    <w:rsid w:val="0060300C"/>
    <w:rsid w:val="006254E5"/>
    <w:rsid w:val="00656EB8"/>
    <w:rsid w:val="006672EC"/>
    <w:rsid w:val="00673C3D"/>
    <w:rsid w:val="006833C3"/>
    <w:rsid w:val="0069545A"/>
    <w:rsid w:val="006E01BE"/>
    <w:rsid w:val="006E70E1"/>
    <w:rsid w:val="00714273"/>
    <w:rsid w:val="007361A0"/>
    <w:rsid w:val="00736D2D"/>
    <w:rsid w:val="00781BC7"/>
    <w:rsid w:val="00796C06"/>
    <w:rsid w:val="007A25E0"/>
    <w:rsid w:val="007A6473"/>
    <w:rsid w:val="007A7A82"/>
    <w:rsid w:val="007D14E3"/>
    <w:rsid w:val="007D180D"/>
    <w:rsid w:val="007E1F57"/>
    <w:rsid w:val="007F0841"/>
    <w:rsid w:val="00801C6F"/>
    <w:rsid w:val="00805DF4"/>
    <w:rsid w:val="0082229F"/>
    <w:rsid w:val="008578CF"/>
    <w:rsid w:val="00874438"/>
    <w:rsid w:val="0087789B"/>
    <w:rsid w:val="00885F41"/>
    <w:rsid w:val="0089131A"/>
    <w:rsid w:val="008A4898"/>
    <w:rsid w:val="008C3A87"/>
    <w:rsid w:val="008C43EB"/>
    <w:rsid w:val="008E43BC"/>
    <w:rsid w:val="008E4A5F"/>
    <w:rsid w:val="008F37B2"/>
    <w:rsid w:val="008F4F80"/>
    <w:rsid w:val="00927250"/>
    <w:rsid w:val="00933E32"/>
    <w:rsid w:val="0094746B"/>
    <w:rsid w:val="009559B3"/>
    <w:rsid w:val="0097588E"/>
    <w:rsid w:val="00981133"/>
    <w:rsid w:val="009C38E2"/>
    <w:rsid w:val="009E7651"/>
    <w:rsid w:val="009F18B8"/>
    <w:rsid w:val="00A22BE5"/>
    <w:rsid w:val="00A23715"/>
    <w:rsid w:val="00A4217A"/>
    <w:rsid w:val="00A52A1A"/>
    <w:rsid w:val="00A52E59"/>
    <w:rsid w:val="00A70131"/>
    <w:rsid w:val="00A75AC6"/>
    <w:rsid w:val="00A80CD3"/>
    <w:rsid w:val="00AA0CE8"/>
    <w:rsid w:val="00AA4033"/>
    <w:rsid w:val="00AA5E03"/>
    <w:rsid w:val="00AB2DEE"/>
    <w:rsid w:val="00AD1ADC"/>
    <w:rsid w:val="00AE25D0"/>
    <w:rsid w:val="00B41156"/>
    <w:rsid w:val="00B4568D"/>
    <w:rsid w:val="00B63E9F"/>
    <w:rsid w:val="00B908EB"/>
    <w:rsid w:val="00B92BBD"/>
    <w:rsid w:val="00C053D8"/>
    <w:rsid w:val="00C30AFC"/>
    <w:rsid w:val="00C33390"/>
    <w:rsid w:val="00C3349F"/>
    <w:rsid w:val="00C43A89"/>
    <w:rsid w:val="00C50D94"/>
    <w:rsid w:val="00C542BA"/>
    <w:rsid w:val="00C75ED7"/>
    <w:rsid w:val="00C802EC"/>
    <w:rsid w:val="00C901B0"/>
    <w:rsid w:val="00C91B69"/>
    <w:rsid w:val="00CA21DB"/>
    <w:rsid w:val="00CE425C"/>
    <w:rsid w:val="00D10E35"/>
    <w:rsid w:val="00D46428"/>
    <w:rsid w:val="00D60D2A"/>
    <w:rsid w:val="00D63475"/>
    <w:rsid w:val="00D675A2"/>
    <w:rsid w:val="00D73E73"/>
    <w:rsid w:val="00D83350"/>
    <w:rsid w:val="00DC36A5"/>
    <w:rsid w:val="00E05A08"/>
    <w:rsid w:val="00E13B6C"/>
    <w:rsid w:val="00E15388"/>
    <w:rsid w:val="00E2271D"/>
    <w:rsid w:val="00E42343"/>
    <w:rsid w:val="00E7155F"/>
    <w:rsid w:val="00E730AB"/>
    <w:rsid w:val="00E77DF8"/>
    <w:rsid w:val="00E77EE7"/>
    <w:rsid w:val="00EB77DE"/>
    <w:rsid w:val="00EE4F3D"/>
    <w:rsid w:val="00F005F5"/>
    <w:rsid w:val="00F10939"/>
    <w:rsid w:val="00F30923"/>
    <w:rsid w:val="00F507E6"/>
    <w:rsid w:val="00F54264"/>
    <w:rsid w:val="00F64695"/>
    <w:rsid w:val="00FA2250"/>
    <w:rsid w:val="00FC430D"/>
    <w:rsid w:val="00FF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131A"/>
  </w:style>
  <w:style w:type="paragraph" w:styleId="Nagwek1">
    <w:name w:val="heading 1"/>
    <w:basedOn w:val="Normalny"/>
    <w:link w:val="Nagwek1Znak"/>
    <w:uiPriority w:val="9"/>
    <w:qFormat/>
    <w:rsid w:val="00B456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568D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highlight-disabled">
    <w:name w:val="highlight-disabled"/>
    <w:basedOn w:val="Domylnaczcionkaakapitu"/>
    <w:rsid w:val="00B4568D"/>
  </w:style>
  <w:style w:type="character" w:customStyle="1" w:styleId="footnote">
    <w:name w:val="footnote"/>
    <w:basedOn w:val="Domylnaczcionkaakapitu"/>
    <w:rsid w:val="00B4568D"/>
  </w:style>
  <w:style w:type="character" w:styleId="Hipercze">
    <w:name w:val="Hyperlink"/>
    <w:basedOn w:val="Domylnaczcionkaakapitu"/>
    <w:uiPriority w:val="99"/>
    <w:semiHidden/>
    <w:unhideWhenUsed/>
    <w:rsid w:val="00B4568D"/>
    <w:rPr>
      <w:color w:val="0000FF"/>
      <w:u w:val="single"/>
    </w:rPr>
  </w:style>
  <w:style w:type="paragraph" w:customStyle="1" w:styleId="mainpub">
    <w:name w:val="mainpub"/>
    <w:basedOn w:val="Normalny"/>
    <w:rsid w:val="00B45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043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3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381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8A48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4898"/>
  </w:style>
  <w:style w:type="paragraph" w:styleId="Stopka">
    <w:name w:val="footer"/>
    <w:basedOn w:val="Normalny"/>
    <w:link w:val="StopkaZnak"/>
    <w:uiPriority w:val="99"/>
    <w:unhideWhenUsed/>
    <w:rsid w:val="008A48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48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131A"/>
  </w:style>
  <w:style w:type="paragraph" w:styleId="Nagwek1">
    <w:name w:val="heading 1"/>
    <w:basedOn w:val="Normalny"/>
    <w:link w:val="Nagwek1Znak"/>
    <w:uiPriority w:val="9"/>
    <w:qFormat/>
    <w:rsid w:val="00B456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568D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highlight-disabled">
    <w:name w:val="highlight-disabled"/>
    <w:basedOn w:val="Domylnaczcionkaakapitu"/>
    <w:rsid w:val="00B4568D"/>
  </w:style>
  <w:style w:type="character" w:customStyle="1" w:styleId="footnote">
    <w:name w:val="footnote"/>
    <w:basedOn w:val="Domylnaczcionkaakapitu"/>
    <w:rsid w:val="00B4568D"/>
  </w:style>
  <w:style w:type="character" w:styleId="Hipercze">
    <w:name w:val="Hyperlink"/>
    <w:basedOn w:val="Domylnaczcionkaakapitu"/>
    <w:uiPriority w:val="99"/>
    <w:semiHidden/>
    <w:unhideWhenUsed/>
    <w:rsid w:val="00B4568D"/>
    <w:rPr>
      <w:color w:val="0000FF"/>
      <w:u w:val="single"/>
    </w:rPr>
  </w:style>
  <w:style w:type="paragraph" w:customStyle="1" w:styleId="mainpub">
    <w:name w:val="mainpub"/>
    <w:basedOn w:val="Normalny"/>
    <w:rsid w:val="00B45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043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3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381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8A48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4898"/>
  </w:style>
  <w:style w:type="paragraph" w:styleId="Stopka">
    <w:name w:val="footer"/>
    <w:basedOn w:val="Normalny"/>
    <w:link w:val="StopkaZnak"/>
    <w:uiPriority w:val="99"/>
    <w:unhideWhenUsed/>
    <w:rsid w:val="008A48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48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5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10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404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727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3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7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7299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27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1044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6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4.xml"/><Relationship Id="rId18" Type="http://schemas.openxmlformats.org/officeDocument/2006/relationships/chart" Target="charts/chart9.xml"/><Relationship Id="rId26" Type="http://schemas.openxmlformats.org/officeDocument/2006/relationships/chart" Target="charts/chart17.xm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hart" Target="charts/chart12.xml"/><Relationship Id="rId34" Type="http://schemas.openxmlformats.org/officeDocument/2006/relationships/chart" Target="charts/chart25.xml"/><Relationship Id="rId7" Type="http://schemas.openxmlformats.org/officeDocument/2006/relationships/footnotes" Target="footnotes.xml"/><Relationship Id="rId12" Type="http://schemas.openxmlformats.org/officeDocument/2006/relationships/chart" Target="charts/chart3.xml"/><Relationship Id="rId17" Type="http://schemas.openxmlformats.org/officeDocument/2006/relationships/chart" Target="charts/chart8.xml"/><Relationship Id="rId25" Type="http://schemas.openxmlformats.org/officeDocument/2006/relationships/chart" Target="charts/chart16.xml"/><Relationship Id="rId33" Type="http://schemas.openxmlformats.org/officeDocument/2006/relationships/chart" Target="charts/chart24.xm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7.xml"/><Relationship Id="rId20" Type="http://schemas.openxmlformats.org/officeDocument/2006/relationships/chart" Target="charts/chart11.xml"/><Relationship Id="rId29" Type="http://schemas.openxmlformats.org/officeDocument/2006/relationships/chart" Target="charts/chart20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24" Type="http://schemas.openxmlformats.org/officeDocument/2006/relationships/chart" Target="charts/chart15.xml"/><Relationship Id="rId32" Type="http://schemas.openxmlformats.org/officeDocument/2006/relationships/chart" Target="charts/chart23.xml"/><Relationship Id="rId37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chart" Target="charts/chart6.xml"/><Relationship Id="rId23" Type="http://schemas.openxmlformats.org/officeDocument/2006/relationships/chart" Target="charts/chart14.xml"/><Relationship Id="rId28" Type="http://schemas.openxmlformats.org/officeDocument/2006/relationships/chart" Target="charts/chart19.xml"/><Relationship Id="rId36" Type="http://schemas.openxmlformats.org/officeDocument/2006/relationships/footer" Target="footer1.xml"/><Relationship Id="rId10" Type="http://schemas.openxmlformats.org/officeDocument/2006/relationships/chart" Target="charts/chart1.xml"/><Relationship Id="rId19" Type="http://schemas.openxmlformats.org/officeDocument/2006/relationships/chart" Target="charts/chart10.xml"/><Relationship Id="rId31" Type="http://schemas.openxmlformats.org/officeDocument/2006/relationships/chart" Target="charts/chart22.xml"/><Relationship Id="rId4" Type="http://schemas.microsoft.com/office/2007/relationships/stylesWithEffects" Target="stylesWithEffects.xml"/><Relationship Id="rId9" Type="http://schemas.openxmlformats.org/officeDocument/2006/relationships/hyperlink" Target="http://sip.legalis.pl/document-view.seam?documentId=mfrxilrvguytgnjzheza" TargetMode="External"/><Relationship Id="rId14" Type="http://schemas.openxmlformats.org/officeDocument/2006/relationships/chart" Target="charts/chart5.xml"/><Relationship Id="rId22" Type="http://schemas.openxmlformats.org/officeDocument/2006/relationships/chart" Target="charts/chart13.xml"/><Relationship Id="rId27" Type="http://schemas.openxmlformats.org/officeDocument/2006/relationships/chart" Target="charts/chart18.xml"/><Relationship Id="rId30" Type="http://schemas.openxmlformats.org/officeDocument/2006/relationships/chart" Target="charts/chart21.xml"/><Relationship Id="rId35" Type="http://schemas.openxmlformats.org/officeDocument/2006/relationships/chart" Target="charts/chart2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4\0320%20Opracowania%20statystyczne%20w&#322;asne\0320_xxx_2014%20Robocze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4\0320%20Opracowania%20statystyczne%20w&#322;asne\0320_xxx_2014%20Robocze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4\0320%20Opracowania%20statystyczne%20w&#322;asne\0320_xxx_2014%20Robocze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4\0320%20Opracowania%20statystyczne%20w&#322;asne\0320_xxx_2014%20Robocze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4\0320%20Opracowania%20statystyczne%20w&#322;asne\0320_xxx_2014%20Robocze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4\0320%20Opracowania%20statystyczne%20w&#322;asne\0320_xxx_2014%20Robocze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4\0320%20Opracowania%20statystyczne%20w&#322;asne\0320_xxx_2014%20Robocze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4\0320%20Opracowania%20statystyczne%20w&#322;asne\0320_xxx_2014%20Robocze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4\0320%20Opracowania%20statystyczne%20w&#322;asne\0320_xxx_2014%20Robocze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4\0320%20Opracowania%20statystyczne%20w&#322;asne\0320_xxx_2014%20Robocze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4\0320%20Opracowania%20statystyczne%20w&#322;asne\0320_xxx_2014%20Robocze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4\0320%20Opracowania%20statystyczne%20w&#322;asne\0320_xxx_2014%20Robocze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4\0320%20Opracowania%20statystyczne%20w&#322;asne\0320_xxx_2014%20Robocze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4\0320%20Opracowania%20statystyczne%20w&#322;asne\0320_xxx_2014%20Robocze.xlsx" TargetMode="External"/></Relationships>
</file>

<file path=word/charts/_rels/chart15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\\swaap01\statystyka\WS_2014\0320%20Opracowania%20statystyczne%20w&#322;asne\0320_xxx_2014%20Robocze.xlsx" TargetMode="External"/></Relationships>
</file>

<file path=word/charts/_rels/chart16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\\swaap01\statystyka\WS_2014\0320%20Opracowania%20statystyczne%20w&#322;asne\0320_xxx_2014%20Robocze.xlsx" TargetMode="External"/></Relationships>
</file>

<file path=word/charts/_rels/chart17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3.xml"/><Relationship Id="rId1" Type="http://schemas.openxmlformats.org/officeDocument/2006/relationships/oleObject" Target="file:///\\swaap01\statystyka\WS_2014\0320%20Opracowania%20statystyczne%20w&#322;asne\0320_xxx_2014%20Robocze.xlsx" TargetMode="External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4\0320%20Opracowania%20statystyczne%20w&#322;asne\0320_xxx_2014%20TABELE-skarga.xlsx" TargetMode="External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4\0320%20Opracowania%20statystyczne%20w&#322;asne\0320_xxx_2014%20TABELE-skarga.xlsx" TargetMode="External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4\0320%20Opracowania%20statystyczne%20w&#322;asne\0320_xxx_2014%20TABELE-skarga.xlsx" TargetMode="External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4\0320%20Opracowania%20statystyczne%20w&#322;asne\0320_xxx_2014%20TABELE-skarga.xlsx" TargetMode="External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4\0320%20Opracowania%20statystyczne%20w&#322;asne\0320_xxx_2014%20TABELE-skarga.xlsx" TargetMode="External"/></Relationships>
</file>

<file path=word/charts/_rels/chart23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4\0320%20Opracowania%20statystyczne%20w&#322;asne\0320_xxx_2014%20TABELE-skarga.xlsx" TargetMode="External"/></Relationships>
</file>

<file path=word/charts/_rels/chart24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4.xml"/><Relationship Id="rId1" Type="http://schemas.openxmlformats.org/officeDocument/2006/relationships/oleObject" Target="file:///\\swaap01\statystyka\WS_2014\0320%20Opracowania%20statystyczne%20w&#322;asne\0320_xxx_2014%20TABELE-skarga.xlsx" TargetMode="External"/></Relationships>
</file>

<file path=word/charts/_rels/chart25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5.xml"/><Relationship Id="rId1" Type="http://schemas.openxmlformats.org/officeDocument/2006/relationships/oleObject" Target="file:///\\swaap01\statystyka\WS_2014\0320%20Opracowania%20statystyczne%20w&#322;asne\0320_xxx_2014%20TABELE-skarga.xlsx" TargetMode="External"/></Relationships>
</file>

<file path=word/charts/_rels/chart26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6.xml"/><Relationship Id="rId1" Type="http://schemas.openxmlformats.org/officeDocument/2006/relationships/oleObject" Target="file:///\\swaap01\statystyka\WS_2014\0320%20Opracowania%20statystyczne%20w&#322;asne\0320_xxx_2014%20TABELE-skarga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>
                <a:latin typeface="Arial Narrow" panose="020B0606020202030204" pitchFamily="34" charset="0"/>
              </a:defRPr>
            </a:pPr>
            <a:r>
              <a:rPr lang="pl-PL" sz="1000">
                <a:latin typeface="Arial Narrow" panose="020B0606020202030204" pitchFamily="34" charset="0"/>
              </a:rPr>
              <a:t>Wykres 1. Liczba skarg na postępowanie karne (sądowe i prokuratorskie łącznie), </a:t>
            </a:r>
            <a:br>
              <a:rPr lang="pl-PL" sz="1000">
                <a:latin typeface="Arial Narrow" panose="020B0606020202030204" pitchFamily="34" charset="0"/>
              </a:rPr>
            </a:br>
            <a:r>
              <a:rPr lang="pl-PL" sz="1000">
                <a:latin typeface="Arial Narrow" panose="020B0606020202030204" pitchFamily="34" charset="0"/>
              </a:rPr>
              <a:t>w których zasądzono odszkodowanie - w stosunku do ogólnej liczby skarg rozpatrzonych 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5">
                <a:lumMod val="50000"/>
              </a:schemeClr>
            </a:solidFill>
          </c:spPr>
          <c:invertIfNegative val="0"/>
          <c:dLbls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sz="900" b="1"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karne!$AD$23:$AH$23</c:f>
              <c:numCache>
                <c:formatCode>General</c:formatCode>
                <c:ptCount val="5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  <c:pt idx="4">
                  <c:v>2013</c:v>
                </c:pt>
              </c:numCache>
            </c:numRef>
          </c:cat>
          <c:val>
            <c:numRef>
              <c:f>(karne!$J$7;karne!$J$30;karne!$J$53;karne!$J$76;karne!$J$99)</c:f>
              <c:numCache>
                <c:formatCode>0.0%</c:formatCode>
                <c:ptCount val="5"/>
                <c:pt idx="0">
                  <c:v>0.14712471994025392</c:v>
                </c:pt>
                <c:pt idx="1">
                  <c:v>0.15384615384615385</c:v>
                </c:pt>
                <c:pt idx="2">
                  <c:v>0.15263644773358001</c:v>
                </c:pt>
                <c:pt idx="3">
                  <c:v>0.14240790655884997</c:v>
                </c:pt>
                <c:pt idx="4">
                  <c:v>0.16208791208791209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1425408"/>
        <c:axId val="97506432"/>
      </c:barChart>
      <c:catAx>
        <c:axId val="714254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97506432"/>
        <c:crosses val="autoZero"/>
        <c:auto val="1"/>
        <c:lblAlgn val="ctr"/>
        <c:lblOffset val="100"/>
        <c:noMultiLvlLbl val="0"/>
      </c:catAx>
      <c:valAx>
        <c:axId val="97506432"/>
        <c:scaling>
          <c:orientation val="minMax"/>
        </c:scaling>
        <c:delete val="0"/>
        <c:axPos val="l"/>
        <c:majorGridlines/>
        <c:numFmt formatCode="0.0%" sourceLinked="1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Arial Narrow" panose="020B0606020202030204" pitchFamily="34" charset="0"/>
              </a:defRPr>
            </a:pPr>
            <a:endParaRPr lang="pl-PL"/>
          </a:p>
        </c:txPr>
        <c:crossAx val="7142540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900">
                <a:latin typeface="Arial Narrow" panose="020B0606020202030204" pitchFamily="34" charset="0"/>
              </a:defRPr>
            </a:pPr>
            <a:r>
              <a:rPr lang="pl-PL" sz="900">
                <a:latin typeface="Arial Narrow" panose="020B0606020202030204" pitchFamily="34" charset="0"/>
              </a:rPr>
              <a:t>Wykres 2. Liczba skarg na postępowanie karne prokuratorskie, w których zasądzono odszkodowanie - w stosunku do ogólnej liczby skarg rozpatrzonych 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5">
                <a:lumMod val="75000"/>
              </a:schemeClr>
            </a:solidFill>
          </c:spPr>
          <c:invertIfNegative val="0"/>
          <c:dLbls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sz="900" b="1"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karne!$AD$23:$AH$23</c:f>
              <c:numCache>
                <c:formatCode>General</c:formatCode>
                <c:ptCount val="5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  <c:pt idx="4">
                  <c:v>2013</c:v>
                </c:pt>
              </c:numCache>
            </c:numRef>
          </c:cat>
          <c:val>
            <c:numRef>
              <c:f>(karne!$J$9;karne!$J$32;karne!$J$55;karne!$J$78;karne!$J$101)</c:f>
              <c:numCache>
                <c:formatCode>0.0%</c:formatCode>
                <c:ptCount val="5"/>
                <c:pt idx="0">
                  <c:v>0.11647727272727272</c:v>
                </c:pt>
                <c:pt idx="1">
                  <c:v>7.956600361663653E-2</c:v>
                </c:pt>
                <c:pt idx="2">
                  <c:v>9.8214285714285712E-2</c:v>
                </c:pt>
                <c:pt idx="3">
                  <c:v>8.3018867924528297E-2</c:v>
                </c:pt>
                <c:pt idx="4">
                  <c:v>8.3061889250814328E-2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0042624"/>
        <c:axId val="100044160"/>
      </c:barChart>
      <c:catAx>
        <c:axId val="10004262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100044160"/>
        <c:crosses val="autoZero"/>
        <c:auto val="1"/>
        <c:lblAlgn val="ctr"/>
        <c:lblOffset val="100"/>
        <c:noMultiLvlLbl val="0"/>
      </c:catAx>
      <c:valAx>
        <c:axId val="100044160"/>
        <c:scaling>
          <c:orientation val="minMax"/>
        </c:scaling>
        <c:delete val="0"/>
        <c:axPos val="l"/>
        <c:majorGridlines/>
        <c:numFmt formatCode="0.0%" sourceLinked="1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Arial Narrow" panose="020B0606020202030204" pitchFamily="34" charset="0"/>
              </a:defRPr>
            </a:pPr>
            <a:endParaRPr lang="pl-PL"/>
          </a:p>
        </c:txPr>
        <c:crossAx val="10004262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900">
                <a:latin typeface="Arial Narrow" panose="020B0606020202030204" pitchFamily="34" charset="0"/>
              </a:defRPr>
            </a:pPr>
            <a:r>
              <a:rPr lang="pl-PL" sz="900">
                <a:latin typeface="Arial Narrow" panose="020B0606020202030204" pitchFamily="34" charset="0"/>
              </a:rPr>
              <a:t>Wykres 3. Liczba skarg na postępowanie karne sądowe, w których zasądzono odszkodowanie - w stosunku do ogólnej liczby skarg rozpatrzonych 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5">
                <a:lumMod val="60000"/>
                <a:lumOff val="40000"/>
              </a:schemeClr>
            </a:solidFill>
          </c:spPr>
          <c:invertIfNegative val="0"/>
          <c:dLbls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sz="900" b="1"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karne!$AD$23:$AH$23</c:f>
              <c:numCache>
                <c:formatCode>General</c:formatCode>
                <c:ptCount val="5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  <c:pt idx="4">
                  <c:v>2013</c:v>
                </c:pt>
              </c:numCache>
            </c:numRef>
          </c:cat>
          <c:val>
            <c:numRef>
              <c:f>(karne!$J$8;karne!$J$31;karne!$J$54;karne!$J$77;karne!$J$100)</c:f>
              <c:numCache>
                <c:formatCode>0.0%</c:formatCode>
                <c:ptCount val="5"/>
                <c:pt idx="0">
                  <c:v>0.1580547112462006</c:v>
                </c:pt>
                <c:pt idx="1">
                  <c:v>0.18007662835249041</c:v>
                </c:pt>
                <c:pt idx="2">
                  <c:v>0.17166042446941324</c:v>
                </c:pt>
                <c:pt idx="3">
                  <c:v>0.16096698113207547</c:v>
                </c:pt>
                <c:pt idx="4">
                  <c:v>0.18717683557394002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0060544"/>
        <c:axId val="101913728"/>
      </c:barChart>
      <c:catAx>
        <c:axId val="1000605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101913728"/>
        <c:crosses val="autoZero"/>
        <c:auto val="1"/>
        <c:lblAlgn val="ctr"/>
        <c:lblOffset val="100"/>
        <c:noMultiLvlLbl val="0"/>
      </c:catAx>
      <c:valAx>
        <c:axId val="101913728"/>
        <c:scaling>
          <c:orientation val="minMax"/>
        </c:scaling>
        <c:delete val="0"/>
        <c:axPos val="l"/>
        <c:majorGridlines/>
        <c:numFmt formatCode="0.0%" sourceLinked="1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Arial Narrow" panose="020B0606020202030204" pitchFamily="34" charset="0"/>
              </a:defRPr>
            </a:pPr>
            <a:endParaRPr lang="pl-PL"/>
          </a:p>
        </c:txPr>
        <c:crossAx val="10006054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>
                <a:latin typeface="Arial Narrow" panose="020B0606020202030204" pitchFamily="34" charset="0"/>
              </a:defRPr>
            </a:pPr>
            <a:r>
              <a:rPr lang="pl-PL" sz="1000">
                <a:latin typeface="Arial Narrow" panose="020B0606020202030204" pitchFamily="34" charset="0"/>
              </a:rPr>
              <a:t>Wykres 4. Liczba oddalonych skarg na postępowanie karne (sądowe i prokuratorskie)</a:t>
            </a:r>
            <a:r>
              <a:rPr lang="pl-PL" sz="1000" baseline="0">
                <a:latin typeface="Arial Narrow" panose="020B0606020202030204" pitchFamily="34" charset="0"/>
              </a:rPr>
              <a:t> - </a:t>
            </a:r>
            <a:r>
              <a:rPr lang="pl-PL" sz="1000">
                <a:latin typeface="Arial Narrow" panose="020B0606020202030204" pitchFamily="34" charset="0"/>
              </a:rPr>
              <a:t>w stosunku do ogólnej liczby skarg rozpatrzonych 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2">
                <a:lumMod val="50000"/>
              </a:schemeClr>
            </a:solidFill>
          </c:spPr>
          <c:invertIfNegative val="0"/>
          <c:dLbls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sz="900" b="1"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karne!$AD$23:$AH$23</c:f>
              <c:numCache>
                <c:formatCode>General</c:formatCode>
                <c:ptCount val="5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  <c:pt idx="4">
                  <c:v>2013</c:v>
                </c:pt>
              </c:numCache>
            </c:numRef>
          </c:cat>
          <c:val>
            <c:numRef>
              <c:f>(karne!$K$7;karne!$K$30;karne!$K$53;karne!$K$76;karne!$K$99)</c:f>
              <c:numCache>
                <c:formatCode>0.0%</c:formatCode>
                <c:ptCount val="5"/>
                <c:pt idx="0">
                  <c:v>0.34428678117998507</c:v>
                </c:pt>
                <c:pt idx="1">
                  <c:v>0.36007550731477111</c:v>
                </c:pt>
                <c:pt idx="2">
                  <c:v>0.35337650323774283</c:v>
                </c:pt>
                <c:pt idx="3">
                  <c:v>0.37421383647798739</c:v>
                </c:pt>
                <c:pt idx="4">
                  <c:v>0.36028257456828883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1926016"/>
        <c:axId val="101927552"/>
      </c:barChart>
      <c:catAx>
        <c:axId val="10192601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101927552"/>
        <c:crosses val="autoZero"/>
        <c:auto val="1"/>
        <c:lblAlgn val="ctr"/>
        <c:lblOffset val="100"/>
        <c:noMultiLvlLbl val="0"/>
      </c:catAx>
      <c:valAx>
        <c:axId val="101927552"/>
        <c:scaling>
          <c:orientation val="minMax"/>
        </c:scaling>
        <c:delete val="0"/>
        <c:axPos val="l"/>
        <c:majorGridlines/>
        <c:numFmt formatCode="0.0%" sourceLinked="1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Arial Narrow" panose="020B0606020202030204" pitchFamily="34" charset="0"/>
              </a:defRPr>
            </a:pPr>
            <a:endParaRPr lang="pl-PL"/>
          </a:p>
        </c:txPr>
        <c:crossAx val="10192601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900">
                <a:latin typeface="Arial Narrow" panose="020B0606020202030204" pitchFamily="34" charset="0"/>
              </a:defRPr>
            </a:pPr>
            <a:r>
              <a:rPr lang="pl-PL" sz="900">
                <a:latin typeface="Arial Narrow" panose="020B0606020202030204" pitchFamily="34" charset="0"/>
              </a:rPr>
              <a:t>Wykres 5. Liczba oddalonych skarg na postępowanie karne prokuratorskie - w stosunku do ogólnej liczby skarg rozpatrzonych 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2">
                <a:lumMod val="75000"/>
              </a:schemeClr>
            </a:solidFill>
          </c:spPr>
          <c:invertIfNegative val="0"/>
          <c:dLbls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sz="900" b="1"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karne!$AD$23:$AH$23</c:f>
              <c:numCache>
                <c:formatCode>General</c:formatCode>
                <c:ptCount val="5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  <c:pt idx="4">
                  <c:v>2013</c:v>
                </c:pt>
              </c:numCache>
            </c:numRef>
          </c:cat>
          <c:val>
            <c:numRef>
              <c:f>(karne!$K$9;karne!$K$32;karne!$K$55;karne!$K$78;karne!$K$101)</c:f>
              <c:numCache>
                <c:formatCode>0.0%</c:formatCode>
                <c:ptCount val="5"/>
                <c:pt idx="0">
                  <c:v>0.33806818181818182</c:v>
                </c:pt>
                <c:pt idx="1">
                  <c:v>0.3833634719710669</c:v>
                </c:pt>
                <c:pt idx="2">
                  <c:v>0.3125</c:v>
                </c:pt>
                <c:pt idx="3">
                  <c:v>0.30943396226415093</c:v>
                </c:pt>
                <c:pt idx="4">
                  <c:v>0.30944625407166126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1972608"/>
        <c:axId val="103297408"/>
      </c:barChart>
      <c:catAx>
        <c:axId val="1019726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103297408"/>
        <c:crosses val="autoZero"/>
        <c:auto val="1"/>
        <c:lblAlgn val="ctr"/>
        <c:lblOffset val="100"/>
        <c:noMultiLvlLbl val="0"/>
      </c:catAx>
      <c:valAx>
        <c:axId val="103297408"/>
        <c:scaling>
          <c:orientation val="minMax"/>
        </c:scaling>
        <c:delete val="0"/>
        <c:axPos val="l"/>
        <c:majorGridlines/>
        <c:numFmt formatCode="0.0%" sourceLinked="1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Arial Narrow" panose="020B0606020202030204" pitchFamily="34" charset="0"/>
              </a:defRPr>
            </a:pPr>
            <a:endParaRPr lang="pl-PL"/>
          </a:p>
        </c:txPr>
        <c:crossAx val="10197260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900">
                <a:latin typeface="Arial Narrow" panose="020B0606020202030204" pitchFamily="34" charset="0"/>
              </a:defRPr>
            </a:pPr>
            <a:r>
              <a:rPr lang="pl-PL" sz="900">
                <a:latin typeface="Arial Narrow" panose="020B0606020202030204" pitchFamily="34" charset="0"/>
              </a:rPr>
              <a:t>Wykres 6. Liczba oddalonych skarg na postępowanie karne sądowe</a:t>
            </a:r>
            <a:r>
              <a:rPr lang="pl-PL" sz="900" baseline="0">
                <a:latin typeface="Arial Narrow" panose="020B0606020202030204" pitchFamily="34" charset="0"/>
              </a:rPr>
              <a:t> </a:t>
            </a:r>
            <a:r>
              <a:rPr lang="pl-PL" sz="900">
                <a:latin typeface="Arial Narrow" panose="020B0606020202030204" pitchFamily="34" charset="0"/>
              </a:rPr>
              <a:t>- w stosunku do ogólnej liczby skarg rozpatrzonych 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2">
                <a:lumMod val="60000"/>
                <a:lumOff val="40000"/>
              </a:schemeClr>
            </a:solidFill>
          </c:spPr>
          <c:invertIfNegative val="0"/>
          <c:dLbls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sz="900" b="1"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karne!$AD$23:$AH$23</c:f>
              <c:numCache>
                <c:formatCode>General</c:formatCode>
                <c:ptCount val="5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  <c:pt idx="4">
                  <c:v>2013</c:v>
                </c:pt>
              </c:numCache>
            </c:numRef>
          </c:cat>
          <c:val>
            <c:numRef>
              <c:f>(karne!$K$8;karne!$K$31;karne!$K$54;karne!$K$77;karne!$K$100)</c:f>
              <c:numCache>
                <c:formatCode>0.0%</c:formatCode>
                <c:ptCount val="5"/>
                <c:pt idx="0">
                  <c:v>0.34650455927051671</c:v>
                </c:pt>
                <c:pt idx="1">
                  <c:v>0.35185185185185186</c:v>
                </c:pt>
                <c:pt idx="2">
                  <c:v>0.36766541822721599</c:v>
                </c:pt>
                <c:pt idx="3">
                  <c:v>0.3944575471698113</c:v>
                </c:pt>
                <c:pt idx="4">
                  <c:v>0.37642192347466391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3318272"/>
        <c:axId val="103319808"/>
      </c:barChart>
      <c:catAx>
        <c:axId val="10331827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103319808"/>
        <c:crosses val="autoZero"/>
        <c:auto val="1"/>
        <c:lblAlgn val="ctr"/>
        <c:lblOffset val="100"/>
        <c:noMultiLvlLbl val="0"/>
      </c:catAx>
      <c:valAx>
        <c:axId val="103319808"/>
        <c:scaling>
          <c:orientation val="minMax"/>
        </c:scaling>
        <c:delete val="0"/>
        <c:axPos val="l"/>
        <c:majorGridlines/>
        <c:numFmt formatCode="0.0%" sourceLinked="1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Arial Narrow" panose="020B0606020202030204" pitchFamily="34" charset="0"/>
              </a:defRPr>
            </a:pPr>
            <a:endParaRPr lang="pl-PL"/>
          </a:p>
        </c:txPr>
        <c:crossAx val="10331827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>
                <a:latin typeface="Arial Narrow" panose="020B0606020202030204" pitchFamily="34" charset="0"/>
              </a:defRPr>
            </a:pPr>
            <a:r>
              <a:rPr lang="pl-PL" sz="1000">
                <a:latin typeface="Arial Narrow" panose="020B0606020202030204" pitchFamily="34" charset="0"/>
              </a:rPr>
              <a:t>Wykres 7. Liczba odrzuconych  skarg na postępowanie karne (sądowe i prokuratorskie) </a:t>
            </a:r>
            <a:r>
              <a:rPr lang="pl-PL" sz="1000" baseline="0">
                <a:latin typeface="Arial Narrow" panose="020B0606020202030204" pitchFamily="34" charset="0"/>
              </a:rPr>
              <a:t> </a:t>
            </a:r>
            <a:br>
              <a:rPr lang="pl-PL" sz="1000" baseline="0">
                <a:latin typeface="Arial Narrow" panose="020B0606020202030204" pitchFamily="34" charset="0"/>
              </a:rPr>
            </a:br>
            <a:r>
              <a:rPr lang="pl-PL" sz="1000">
                <a:latin typeface="Arial Narrow" panose="020B0606020202030204" pitchFamily="34" charset="0"/>
              </a:rPr>
              <a:t>- w stosunku do ogólnej liczby skarg rozpatrzonych 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rgbClr val="C12D85"/>
            </a:solidFill>
          </c:spPr>
          <c:invertIfNegative val="0"/>
          <c:dLbls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sz="900" b="1"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karne!$AG$23:$AK$23</c:f>
              <c:numCache>
                <c:formatCode>General</c:formatCode>
                <c:ptCount val="5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  <c:pt idx="4">
                  <c:v>2013</c:v>
                </c:pt>
              </c:numCache>
            </c:numRef>
          </c:cat>
          <c:val>
            <c:numRef>
              <c:f>(karne!$M$7,karne!$M$30,karne!$M$53,karne!$M$76,karne!$M$99)</c:f>
              <c:numCache>
                <c:formatCode>0.0%</c:formatCode>
                <c:ptCount val="5"/>
                <c:pt idx="0">
                  <c:v>0.15608663181478716</c:v>
                </c:pt>
                <c:pt idx="1">
                  <c:v>0.12647475224162341</c:v>
                </c:pt>
                <c:pt idx="2">
                  <c:v>0.12534690101757631</c:v>
                </c:pt>
                <c:pt idx="3">
                  <c:v>0.12668463611859837</c:v>
                </c:pt>
                <c:pt idx="4">
                  <c:v>0.12637362637362637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3618816"/>
        <c:axId val="103628800"/>
      </c:barChart>
      <c:catAx>
        <c:axId val="10361881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103628800"/>
        <c:crosses val="autoZero"/>
        <c:auto val="1"/>
        <c:lblAlgn val="ctr"/>
        <c:lblOffset val="100"/>
        <c:noMultiLvlLbl val="0"/>
      </c:catAx>
      <c:valAx>
        <c:axId val="103628800"/>
        <c:scaling>
          <c:orientation val="minMax"/>
        </c:scaling>
        <c:delete val="0"/>
        <c:axPos val="l"/>
        <c:majorGridlines/>
        <c:numFmt formatCode="0.0%" sourceLinked="1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Arial Narrow" panose="020B0606020202030204" pitchFamily="34" charset="0"/>
              </a:defRPr>
            </a:pPr>
            <a:endParaRPr lang="pl-PL"/>
          </a:p>
        </c:txPr>
        <c:crossAx val="10361881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900">
                <a:latin typeface="Arial Narrow" panose="020B0606020202030204" pitchFamily="34" charset="0"/>
              </a:defRPr>
            </a:pPr>
            <a:r>
              <a:rPr lang="pl-PL" sz="900">
                <a:latin typeface="Arial Narrow" panose="020B0606020202030204" pitchFamily="34" charset="0"/>
              </a:rPr>
              <a:t>Wykres 8. Liczba odrzuconych  skarg na postępowanie karne prokuratorskie </a:t>
            </a:r>
            <a:br>
              <a:rPr lang="pl-PL" sz="900">
                <a:latin typeface="Arial Narrow" panose="020B0606020202030204" pitchFamily="34" charset="0"/>
              </a:rPr>
            </a:br>
            <a:r>
              <a:rPr lang="pl-PL" sz="900">
                <a:latin typeface="Arial Narrow" panose="020B0606020202030204" pitchFamily="34" charset="0"/>
              </a:rPr>
              <a:t>- w stosunku do ogólnej liczby skarg rozpatrzonych 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rgbClr val="DB63AA"/>
            </a:solidFill>
          </c:spPr>
          <c:invertIfNegative val="0"/>
          <c:dLbls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sz="900" b="1"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karne!$AG$23:$AK$23</c:f>
              <c:numCache>
                <c:formatCode>General</c:formatCode>
                <c:ptCount val="5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  <c:pt idx="4">
                  <c:v>2013</c:v>
                </c:pt>
              </c:numCache>
            </c:numRef>
          </c:cat>
          <c:val>
            <c:numRef>
              <c:f>(karne!$M$9,karne!$M$32,karne!$M$55,karne!$M$78,karne!$M$101)</c:f>
              <c:numCache>
                <c:formatCode>0.0%</c:formatCode>
                <c:ptCount val="5"/>
                <c:pt idx="0">
                  <c:v>0.17329545454545456</c:v>
                </c:pt>
                <c:pt idx="1">
                  <c:v>0.16455696202531644</c:v>
                </c:pt>
                <c:pt idx="2">
                  <c:v>0.14821428571428572</c:v>
                </c:pt>
                <c:pt idx="3">
                  <c:v>0.13018867924528302</c:v>
                </c:pt>
                <c:pt idx="4">
                  <c:v>0.15309446254071662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3641088"/>
        <c:axId val="103642624"/>
      </c:barChart>
      <c:catAx>
        <c:axId val="1036410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103642624"/>
        <c:crosses val="autoZero"/>
        <c:auto val="1"/>
        <c:lblAlgn val="ctr"/>
        <c:lblOffset val="100"/>
        <c:noMultiLvlLbl val="0"/>
      </c:catAx>
      <c:valAx>
        <c:axId val="103642624"/>
        <c:scaling>
          <c:orientation val="minMax"/>
        </c:scaling>
        <c:delete val="0"/>
        <c:axPos val="l"/>
        <c:majorGridlines/>
        <c:numFmt formatCode="0.0%" sourceLinked="1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Arial Narrow" panose="020B0606020202030204" pitchFamily="34" charset="0"/>
              </a:defRPr>
            </a:pPr>
            <a:endParaRPr lang="pl-PL"/>
          </a:p>
        </c:txPr>
        <c:crossAx val="10364108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900">
                <a:latin typeface="Arial Narrow" panose="020B0606020202030204" pitchFamily="34" charset="0"/>
              </a:defRPr>
            </a:pPr>
            <a:r>
              <a:rPr lang="pl-PL" sz="900">
                <a:latin typeface="Arial Narrow" panose="020B0606020202030204" pitchFamily="34" charset="0"/>
              </a:rPr>
              <a:t>Wykres 9. Liczba odrzuconych  skarg na postępowanie karne sądowe </a:t>
            </a:r>
            <a:br>
              <a:rPr lang="pl-PL" sz="900">
                <a:latin typeface="Arial Narrow" panose="020B0606020202030204" pitchFamily="34" charset="0"/>
              </a:rPr>
            </a:br>
            <a:r>
              <a:rPr lang="pl-PL" sz="900">
                <a:latin typeface="Arial Narrow" panose="020B0606020202030204" pitchFamily="34" charset="0"/>
              </a:rPr>
              <a:t>- w stosunku do ogólnej liczby skarg rozpatrzonych 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rgbClr val="E9A1CC"/>
            </a:solidFill>
          </c:spPr>
          <c:invertIfNegative val="0"/>
          <c:dLbls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sz="900" b="1"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karne!$AG$23:$AK$23</c:f>
              <c:numCache>
                <c:formatCode>General</c:formatCode>
                <c:ptCount val="5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  <c:pt idx="4">
                  <c:v>2013</c:v>
                </c:pt>
              </c:numCache>
            </c:numRef>
          </c:cat>
          <c:val>
            <c:numRef>
              <c:f>(karne!$M$8,karne!$M$31,karne!$M$54,karne!$M$77,karne!$M$100)</c:f>
              <c:numCache>
                <c:formatCode>0.0%</c:formatCode>
                <c:ptCount val="5"/>
                <c:pt idx="0">
                  <c:v>0.14994934143870314</c:v>
                </c:pt>
                <c:pt idx="1">
                  <c:v>0.11302681992337164</c:v>
                </c:pt>
                <c:pt idx="2">
                  <c:v>0.11735330836454431</c:v>
                </c:pt>
                <c:pt idx="3">
                  <c:v>0.12558962264150944</c:v>
                </c:pt>
                <c:pt idx="4">
                  <c:v>0.11789038262668046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3687680"/>
        <c:axId val="103689216"/>
      </c:barChart>
      <c:catAx>
        <c:axId val="1036876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103689216"/>
        <c:crosses val="autoZero"/>
        <c:auto val="1"/>
        <c:lblAlgn val="ctr"/>
        <c:lblOffset val="100"/>
        <c:noMultiLvlLbl val="0"/>
      </c:catAx>
      <c:valAx>
        <c:axId val="103689216"/>
        <c:scaling>
          <c:orientation val="minMax"/>
        </c:scaling>
        <c:delete val="0"/>
        <c:axPos val="l"/>
        <c:majorGridlines/>
        <c:numFmt formatCode="0.0%" sourceLinked="1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Arial Narrow" panose="020B0606020202030204" pitchFamily="34" charset="0"/>
              </a:defRPr>
            </a:pPr>
            <a:endParaRPr lang="pl-PL"/>
          </a:p>
        </c:txPr>
        <c:crossAx val="10368768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>
                <a:latin typeface="Arial Narrow" panose="020B0606020202030204" pitchFamily="34" charset="0"/>
              </a:defRPr>
            </a:pPr>
            <a:r>
              <a:rPr lang="pl-PL" sz="1000">
                <a:latin typeface="Arial Narrow" panose="020B0606020202030204" pitchFamily="34" charset="0"/>
              </a:rPr>
              <a:t>Wykres 10. Średnia wartość zasądzonego odszkodowania za przewlekłość postępowania karnego (sądowego i prokuratorskiego)  (w zł.)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rgbClr val="443F3A"/>
            </a:solidFill>
          </c:spPr>
          <c:invertIfNegative val="0"/>
          <c:dLbls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sz="900" b="1"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karne!$AG$23:$AK$23</c:f>
              <c:numCache>
                <c:formatCode>General</c:formatCode>
                <c:ptCount val="5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  <c:pt idx="4">
                  <c:v>2013</c:v>
                </c:pt>
              </c:numCache>
            </c:numRef>
          </c:cat>
          <c:val>
            <c:numRef>
              <c:f>(karne!$J$7,karne!$J$30,karne!$J$53,karne!$J$76,karne!$J$99)</c:f>
              <c:numCache>
                <c:formatCode>0.0</c:formatCode>
                <c:ptCount val="5"/>
                <c:pt idx="0">
                  <c:v>3159.8984771573605</c:v>
                </c:pt>
                <c:pt idx="1">
                  <c:v>3500.3067484662579</c:v>
                </c:pt>
                <c:pt idx="2">
                  <c:v>3497.2727272727275</c:v>
                </c:pt>
                <c:pt idx="3">
                  <c:v>3312.302839116719</c:v>
                </c:pt>
                <c:pt idx="4">
                  <c:v>3205.8111380145278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3721600"/>
        <c:axId val="103727488"/>
      </c:barChart>
      <c:catAx>
        <c:axId val="10372160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103727488"/>
        <c:crosses val="autoZero"/>
        <c:auto val="1"/>
        <c:lblAlgn val="ctr"/>
        <c:lblOffset val="100"/>
        <c:noMultiLvlLbl val="0"/>
      </c:catAx>
      <c:valAx>
        <c:axId val="103727488"/>
        <c:scaling>
          <c:orientation val="minMax"/>
        </c:scaling>
        <c:delete val="0"/>
        <c:axPos val="l"/>
        <c:majorGridlines/>
        <c:numFmt formatCode="0.0" sourceLinked="1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Arial Narrow" panose="020B0606020202030204" pitchFamily="34" charset="0"/>
              </a:defRPr>
            </a:pPr>
            <a:endParaRPr lang="pl-PL"/>
          </a:p>
        </c:txPr>
        <c:crossAx val="10372160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900">
                <a:latin typeface="Arial Narrow" panose="020B0606020202030204" pitchFamily="34" charset="0"/>
              </a:defRPr>
            </a:pPr>
            <a:r>
              <a:rPr lang="pl-PL" sz="900">
                <a:latin typeface="Arial Narrow" panose="020B0606020202030204" pitchFamily="34" charset="0"/>
              </a:rPr>
              <a:t>Wykres 11. Średnia wartość zasądzonego odszkodowania za przewlekłość postępowania karnego prokuratorskiego (w zł.)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rgbClr val="6C645C"/>
            </a:solidFill>
          </c:spPr>
          <c:invertIfNegative val="0"/>
          <c:dLbls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sz="900" b="1"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karne!$AG$23:$AK$23</c:f>
              <c:numCache>
                <c:formatCode>General</c:formatCode>
                <c:ptCount val="5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  <c:pt idx="4">
                  <c:v>2013</c:v>
                </c:pt>
              </c:numCache>
            </c:numRef>
          </c:cat>
          <c:val>
            <c:numRef>
              <c:f>(karne!$J$9,karne!$J$32,karne!$J$55,karne!$J$78,karne!$J$101)</c:f>
              <c:numCache>
                <c:formatCode>0.0</c:formatCode>
                <c:ptCount val="5"/>
                <c:pt idx="0">
                  <c:v>4841.4634146341459</c:v>
                </c:pt>
                <c:pt idx="1">
                  <c:v>4206.818181818182</c:v>
                </c:pt>
                <c:pt idx="2">
                  <c:v>3556.3636363636365</c:v>
                </c:pt>
                <c:pt idx="3">
                  <c:v>3818.181818181818</c:v>
                </c:pt>
                <c:pt idx="4">
                  <c:v>3921.5686274509803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3747968"/>
        <c:axId val="103749504"/>
      </c:barChart>
      <c:catAx>
        <c:axId val="1037479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103749504"/>
        <c:crosses val="autoZero"/>
        <c:auto val="1"/>
        <c:lblAlgn val="ctr"/>
        <c:lblOffset val="100"/>
        <c:noMultiLvlLbl val="0"/>
      </c:catAx>
      <c:valAx>
        <c:axId val="103749504"/>
        <c:scaling>
          <c:orientation val="minMax"/>
        </c:scaling>
        <c:delete val="0"/>
        <c:axPos val="l"/>
        <c:majorGridlines/>
        <c:numFmt formatCode="0.0" sourceLinked="1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Arial Narrow" panose="020B0606020202030204" pitchFamily="34" charset="0"/>
              </a:defRPr>
            </a:pPr>
            <a:endParaRPr lang="pl-PL"/>
          </a:p>
        </c:txPr>
        <c:crossAx val="10374796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900">
                <a:latin typeface="Arial Narrow" panose="020B0606020202030204" pitchFamily="34" charset="0"/>
              </a:defRPr>
            </a:pPr>
            <a:r>
              <a:rPr lang="pl-PL" sz="900">
                <a:latin typeface="Arial Narrow" panose="020B0606020202030204" pitchFamily="34" charset="0"/>
              </a:rPr>
              <a:t>Wykres 12. Średnia wartość zasądzonego odszkodowania za przewlekłość postępowania karnego sądowego (w zł.)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rgbClr val="B6B0AA"/>
            </a:solidFill>
          </c:spPr>
          <c:invertIfNegative val="0"/>
          <c:dLbls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sz="900" b="1"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karne!$AG$23:$AK$23</c:f>
              <c:numCache>
                <c:formatCode>General</c:formatCode>
                <c:ptCount val="5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  <c:pt idx="4">
                  <c:v>2013</c:v>
                </c:pt>
              </c:numCache>
            </c:numRef>
          </c:cat>
          <c:val>
            <c:numRef>
              <c:f>(karne!$J$8,karne!$J$31,karne!$J$54,karne!$J$77,karne!$J$100)</c:f>
              <c:numCache>
                <c:formatCode>0.0</c:formatCode>
                <c:ptCount val="5"/>
                <c:pt idx="0">
                  <c:v>2717.9487179487178</c:v>
                </c:pt>
                <c:pt idx="1">
                  <c:v>3390.0709219858154</c:v>
                </c:pt>
                <c:pt idx="2">
                  <c:v>3485.4545454545455</c:v>
                </c:pt>
                <c:pt idx="3">
                  <c:v>3230.7692307692309</c:v>
                </c:pt>
                <c:pt idx="4">
                  <c:v>3104.9723756906078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3782656"/>
        <c:axId val="103784448"/>
      </c:barChart>
      <c:catAx>
        <c:axId val="10378265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103784448"/>
        <c:crosses val="autoZero"/>
        <c:auto val="1"/>
        <c:lblAlgn val="ctr"/>
        <c:lblOffset val="100"/>
        <c:noMultiLvlLbl val="0"/>
      </c:catAx>
      <c:valAx>
        <c:axId val="103784448"/>
        <c:scaling>
          <c:orientation val="minMax"/>
        </c:scaling>
        <c:delete val="0"/>
        <c:axPos val="l"/>
        <c:majorGridlines/>
        <c:numFmt formatCode="0.0" sourceLinked="1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Arial Narrow" panose="020B0606020202030204" pitchFamily="34" charset="0"/>
              </a:defRPr>
            </a:pPr>
            <a:endParaRPr lang="pl-PL"/>
          </a:p>
        </c:txPr>
        <c:crossAx val="10378265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00">
                <a:latin typeface="Arial Narrow" panose="020B0606020202030204" pitchFamily="34" charset="0"/>
              </a:defRPr>
            </a:pPr>
            <a:r>
              <a:rPr lang="pl-PL" sz="1100">
                <a:latin typeface="Arial Narrow" panose="020B0606020202030204" pitchFamily="34" charset="0"/>
              </a:rPr>
              <a:t>Wykres 13. Struktura wpływu skarg na postępowanie karne </a:t>
            </a:r>
            <a:br>
              <a:rPr lang="pl-PL" sz="1100">
                <a:latin typeface="Arial Narrow" panose="020B0606020202030204" pitchFamily="34" charset="0"/>
              </a:rPr>
            </a:br>
            <a:r>
              <a:rPr lang="pl-PL" sz="1100">
                <a:latin typeface="Arial Narrow" panose="020B0606020202030204" pitchFamily="34" charset="0"/>
              </a:rPr>
              <a:t>(sądowe i prokuratorskie) w 2013 r.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tx2">
                  <a:lumMod val="60000"/>
                  <a:lumOff val="40000"/>
                </a:schemeClr>
              </a:solidFill>
            </c:spPr>
          </c:dPt>
          <c:dPt>
            <c:idx val="2"/>
            <c:bubble3D val="0"/>
            <c:spPr>
              <a:solidFill>
                <a:schemeClr val="accent4">
                  <a:lumMod val="50000"/>
                </a:schemeClr>
              </a:solidFill>
            </c:spPr>
          </c:dPt>
          <c:dPt>
            <c:idx val="3"/>
            <c:bubble3D val="0"/>
            <c:spPr>
              <a:solidFill>
                <a:srgbClr val="FFFF00"/>
              </a:solidFill>
            </c:spPr>
          </c:dPt>
          <c:dPt>
            <c:idx val="5"/>
            <c:bubble3D val="0"/>
            <c:spPr>
              <a:solidFill>
                <a:srgbClr val="FF0000"/>
              </a:solidFill>
            </c:spPr>
          </c:dPt>
          <c:dPt>
            <c:idx val="6"/>
            <c:bubble3D val="0"/>
            <c:spPr>
              <a:solidFill>
                <a:srgbClr val="00CC00"/>
              </a:solidFill>
            </c:spPr>
          </c:dPt>
          <c:dPt>
            <c:idx val="7"/>
            <c:bubble3D val="0"/>
            <c:spPr>
              <a:solidFill>
                <a:schemeClr val="accent6">
                  <a:lumMod val="75000"/>
                </a:schemeClr>
              </a:solidFill>
            </c:spPr>
          </c:dPt>
          <c:dPt>
            <c:idx val="8"/>
            <c:bubble3D val="0"/>
            <c:spPr>
              <a:solidFill>
                <a:schemeClr val="tx1">
                  <a:lumMod val="95000"/>
                  <a:lumOff val="5000"/>
                </a:schemeClr>
              </a:solidFill>
            </c:spPr>
          </c:dPt>
          <c:dPt>
            <c:idx val="9"/>
            <c:bubble3D val="0"/>
            <c:spPr>
              <a:solidFill>
                <a:schemeClr val="bg1">
                  <a:lumMod val="75000"/>
                </a:schemeClr>
              </a:solidFill>
            </c:spPr>
          </c:dPt>
          <c:dLbls>
            <c:dLbl>
              <c:idx val="2"/>
              <c:layout>
                <c:manualLayout>
                  <c:x val="-1.2064739796196012E-2"/>
                  <c:y val="-2.443804822662012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2911983742435041E-2"/>
                  <c:y val="7.016977385197205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4.3107604005668586E-3"/>
                  <c:y val="1.779823828390430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-4.3507253979483115E-2"/>
                  <c:y val="-9.909225751228392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-3.4074884676310646E-2"/>
                  <c:y val="-9.342111888234638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9"/>
              <c:layout>
                <c:manualLayout>
                  <c:x val="0.10969123190004691"/>
                  <c:y val="1.15783244896460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numFmt formatCode="#,##0" sourceLinked="0"/>
            <c:txPr>
              <a:bodyPr/>
              <a:lstStyle/>
              <a:p>
                <a:pPr>
                  <a:defRPr sz="800" b="1"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(karne!$A$128,karne!$A$131,karne!$A$132,karne!$A$135,karne!$A$138,karne!$A$141,karne!$A$144,karne!$A$147,karne!$A$150,karne!$A$151)</c:f>
              <c:strCache>
                <c:ptCount val="10"/>
                <c:pt idx="0">
                  <c:v>zbyt odległe wyznaczenie terminu pierwszej rozprawy </c:v>
                </c:pt>
                <c:pt idx="1">
                  <c:v>długość przerwy (odroczenia) między rozprawami</c:v>
                </c:pt>
                <c:pt idx="2">
                  <c:v>zwłokę wykonania opinii przez biegłych albo zasięganie przez sądy (prokuratora) kolejnych opinii</c:v>
                </c:pt>
                <c:pt idx="3">
                  <c:v>nadużywanie zawieszenia postępowania</c:v>
                </c:pt>
                <c:pt idx="4">
                  <c:v>przewlekłość trwania tzw. czynności wstępnych</c:v>
                </c:pt>
                <c:pt idx="5">
                  <c:v>przewlekłość postępowania międzyinstancyjnego</c:v>
                </c:pt>
                <c:pt idx="6">
                  <c:v>przewlekłość postępowania wykonawczego</c:v>
                </c:pt>
                <c:pt idx="7">
                  <c:v>bezczynność w podejmowaniu czynności procesowych</c:v>
                </c:pt>
                <c:pt idx="8">
                  <c:v>nieterminowość sporządzania uzasadnień</c:v>
                </c:pt>
                <c:pt idx="9">
                  <c:v>inne</c:v>
                </c:pt>
              </c:strCache>
            </c:strRef>
          </c:cat>
          <c:val>
            <c:numRef>
              <c:f>(karne!$C$128,karne!$C$131:$C$132,karne!$C$135,karne!$C$138,karne!$C$141,karne!$C$144,karne!$C$147,karne!$C$150,karne!$C$151)</c:f>
              <c:numCache>
                <c:formatCode>General</c:formatCode>
                <c:ptCount val="10"/>
                <c:pt idx="0">
                  <c:v>142</c:v>
                </c:pt>
                <c:pt idx="1">
                  <c:v>175</c:v>
                </c:pt>
                <c:pt idx="2">
                  <c:v>24</c:v>
                </c:pt>
                <c:pt idx="3">
                  <c:v>13</c:v>
                </c:pt>
                <c:pt idx="4">
                  <c:v>200</c:v>
                </c:pt>
                <c:pt idx="5">
                  <c:v>16</c:v>
                </c:pt>
                <c:pt idx="6">
                  <c:v>223</c:v>
                </c:pt>
                <c:pt idx="7">
                  <c:v>695</c:v>
                </c:pt>
                <c:pt idx="8">
                  <c:v>19</c:v>
                </c:pt>
                <c:pt idx="9">
                  <c:v>1074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64972289593650112"/>
          <c:y val="0.18588650054669648"/>
          <c:w val="0.33694377306320683"/>
          <c:h val="0.76022382451020198"/>
        </c:manualLayout>
      </c:layout>
      <c:overlay val="0"/>
      <c:txPr>
        <a:bodyPr/>
        <a:lstStyle/>
        <a:p>
          <a:pPr rtl="0">
            <a:defRPr sz="800" b="1">
              <a:latin typeface="Arial Narrow" panose="020B0606020202030204" pitchFamily="34" charset="0"/>
            </a:defRPr>
          </a:pPr>
          <a:endParaRPr lang="pl-PL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00">
                <a:latin typeface="Arial Narrow" panose="020B0606020202030204" pitchFamily="34" charset="0"/>
              </a:defRPr>
            </a:pPr>
            <a:r>
              <a:rPr lang="pl-PL" sz="1100">
                <a:latin typeface="Arial Narrow" panose="020B0606020202030204" pitchFamily="34" charset="0"/>
              </a:rPr>
              <a:t>Wykres 14. Struktura orzeczeń o wypłacie odszkodowania w związku ze skargą </a:t>
            </a:r>
            <a:br>
              <a:rPr lang="pl-PL" sz="1100">
                <a:latin typeface="Arial Narrow" panose="020B0606020202030204" pitchFamily="34" charset="0"/>
              </a:rPr>
            </a:br>
            <a:r>
              <a:rPr lang="pl-PL" sz="1100">
                <a:latin typeface="Arial Narrow" panose="020B0606020202030204" pitchFamily="34" charset="0"/>
              </a:rPr>
              <a:t>na postępowanie karne (sądowe i prokuratorskie) w 2013 r.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tx2">
                  <a:lumMod val="60000"/>
                  <a:lumOff val="40000"/>
                </a:schemeClr>
              </a:solidFill>
            </c:spPr>
          </c:dPt>
          <c:dPt>
            <c:idx val="2"/>
            <c:bubble3D val="0"/>
            <c:spPr>
              <a:solidFill>
                <a:schemeClr val="accent4">
                  <a:lumMod val="50000"/>
                </a:schemeClr>
              </a:solidFill>
            </c:spPr>
          </c:dPt>
          <c:dPt>
            <c:idx val="3"/>
            <c:bubble3D val="0"/>
            <c:spPr>
              <a:solidFill>
                <a:srgbClr val="FFFF00"/>
              </a:solidFill>
            </c:spPr>
          </c:dPt>
          <c:dPt>
            <c:idx val="5"/>
            <c:bubble3D val="0"/>
            <c:spPr>
              <a:solidFill>
                <a:srgbClr val="FF0000"/>
              </a:solidFill>
            </c:spPr>
          </c:dPt>
          <c:dPt>
            <c:idx val="6"/>
            <c:bubble3D val="0"/>
            <c:spPr>
              <a:solidFill>
                <a:srgbClr val="00CC00"/>
              </a:solidFill>
            </c:spPr>
          </c:dPt>
          <c:dPt>
            <c:idx val="7"/>
            <c:bubble3D val="0"/>
            <c:spPr>
              <a:solidFill>
                <a:schemeClr val="accent6">
                  <a:lumMod val="75000"/>
                </a:schemeClr>
              </a:solidFill>
            </c:spPr>
          </c:dPt>
          <c:dPt>
            <c:idx val="8"/>
            <c:bubble3D val="0"/>
            <c:spPr>
              <a:solidFill>
                <a:schemeClr val="tx1">
                  <a:lumMod val="95000"/>
                  <a:lumOff val="5000"/>
                </a:schemeClr>
              </a:solidFill>
            </c:spPr>
          </c:dPt>
          <c:dPt>
            <c:idx val="9"/>
            <c:bubble3D val="0"/>
            <c:spPr>
              <a:solidFill>
                <a:schemeClr val="bg1">
                  <a:lumMod val="75000"/>
                </a:schemeClr>
              </a:solidFill>
            </c:spPr>
          </c:dPt>
          <c:dLbls>
            <c:dLbl>
              <c:idx val="2"/>
              <c:layout>
                <c:manualLayout>
                  <c:x val="-1.2064739796196012E-2"/>
                  <c:y val="-2.443804822662012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2911983742435041E-2"/>
                  <c:y val="7.016977385197205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4.3107604005668586E-3"/>
                  <c:y val="1.779823828390430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-4.3507253979483115E-2"/>
                  <c:y val="-9.909225751228392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-3.4074884676310646E-2"/>
                  <c:y val="-9.342111888234638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9"/>
              <c:layout>
                <c:manualLayout>
                  <c:x val="0.10969123190004691"/>
                  <c:y val="1.15783244896460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numFmt formatCode="#,##0" sourceLinked="0"/>
            <c:txPr>
              <a:bodyPr/>
              <a:lstStyle/>
              <a:p>
                <a:pPr>
                  <a:defRPr sz="800" b="1"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(karne!$A$128;karne!$A$131;karne!$A$132;karne!$A$135;karne!$A$138;karne!$A$141;karne!$A$144;karne!$A$147;karne!$A$150;karne!$A$151)</c:f>
              <c:strCache>
                <c:ptCount val="10"/>
                <c:pt idx="0">
                  <c:v>zbyt odległe wyznaczenie terminu pierwszej rozprawy </c:v>
                </c:pt>
                <c:pt idx="1">
                  <c:v>długość przerwy (odroczenia) między rozprawami</c:v>
                </c:pt>
                <c:pt idx="2">
                  <c:v>zwłokę wykonania opinii przez biegłych albo zasięganie przez sądy (prokuratora) kolejnych opinii</c:v>
                </c:pt>
                <c:pt idx="3">
                  <c:v>nadużywanie zawieszenia postępowania</c:v>
                </c:pt>
                <c:pt idx="4">
                  <c:v>przewlekłość trwania tzw. czynności wstępnych</c:v>
                </c:pt>
                <c:pt idx="5">
                  <c:v>przewlekłość postępowania międzyinstancyjnego</c:v>
                </c:pt>
                <c:pt idx="6">
                  <c:v>przewlekłość postępowania wykonawczego</c:v>
                </c:pt>
                <c:pt idx="7">
                  <c:v>bezczynność w podejmowaniu czynności procesowych</c:v>
                </c:pt>
                <c:pt idx="8">
                  <c:v>nieterminowość sporządzania uzasadnień</c:v>
                </c:pt>
                <c:pt idx="9">
                  <c:v>inne</c:v>
                </c:pt>
              </c:strCache>
            </c:strRef>
          </c:cat>
          <c:val>
            <c:numRef>
              <c:f>(karne!$F$128;karne!$F$131:$F$132;karne!$F$135;karne!$F$138;karne!$F$141;karne!$F$144;karne!$F$147;karne!$F$150:$F$151)</c:f>
              <c:numCache>
                <c:formatCode>General</c:formatCode>
                <c:ptCount val="10"/>
                <c:pt idx="0">
                  <c:v>55</c:v>
                </c:pt>
                <c:pt idx="1">
                  <c:v>29</c:v>
                </c:pt>
                <c:pt idx="2">
                  <c:v>3</c:v>
                </c:pt>
                <c:pt idx="3">
                  <c:v>3</c:v>
                </c:pt>
                <c:pt idx="4">
                  <c:v>36</c:v>
                </c:pt>
                <c:pt idx="5">
                  <c:v>1</c:v>
                </c:pt>
                <c:pt idx="6">
                  <c:v>19</c:v>
                </c:pt>
                <c:pt idx="7">
                  <c:v>119</c:v>
                </c:pt>
                <c:pt idx="8">
                  <c:v>6</c:v>
                </c:pt>
                <c:pt idx="9">
                  <c:v>142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64972289593650112"/>
          <c:y val="0.18588650054669648"/>
          <c:w val="0.33963563610925002"/>
          <c:h val="0.78181752671467974"/>
        </c:manualLayout>
      </c:layout>
      <c:overlay val="0"/>
      <c:txPr>
        <a:bodyPr/>
        <a:lstStyle/>
        <a:p>
          <a:pPr rtl="0">
            <a:defRPr sz="800" b="1">
              <a:latin typeface="Arial Narrow" panose="020B0606020202030204" pitchFamily="34" charset="0"/>
            </a:defRPr>
          </a:pPr>
          <a:endParaRPr lang="pl-PL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pl-PL" sz="1000">
                <a:latin typeface="Arial Narrow" panose="020B0606020202030204" pitchFamily="34" charset="0"/>
              </a:rPr>
              <a:t>Wykres 15. Odsetek skarg uwzględnionych w stosunku do spraw załatwionych</a:t>
            </a:r>
            <a:r>
              <a:rPr lang="pl-PL" sz="1000" baseline="30000">
                <a:latin typeface="Arial Narrow" panose="020B0606020202030204" pitchFamily="34" charset="0"/>
              </a:rPr>
              <a:t>*)</a:t>
            </a:r>
            <a:br>
              <a:rPr lang="pl-PL" sz="1000" baseline="30000">
                <a:latin typeface="Arial Narrow" panose="020B0606020202030204" pitchFamily="34" charset="0"/>
              </a:rPr>
            </a:br>
            <a:r>
              <a:rPr lang="pl-PL" sz="1000">
                <a:latin typeface="Arial Narrow" panose="020B0606020202030204" pitchFamily="34" charset="0"/>
              </a:rPr>
              <a:t> - sprawy karne</a:t>
            </a: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0.1320946723015908"/>
          <c:y val="0.17048218029350104"/>
          <c:w val="0.82733364156585221"/>
          <c:h val="0.63405338483632945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numFmt formatCode="0.000%" sourceLinked="0"/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b="1"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'załatw vs. uwzgl'!$B$26:$F$26</c:f>
              <c:numCache>
                <c:formatCode>General</c:formatCode>
                <c:ptCount val="5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  <c:pt idx="4">
                  <c:v>2013</c:v>
                </c:pt>
              </c:numCache>
            </c:numRef>
          </c:cat>
          <c:val>
            <c:numRef>
              <c:f>('załatw vs. uwzgl'!$E$6,'załatw vs. uwzgl'!$H$6,'załatw vs. uwzgl'!$K$6,'załatw vs. uwzgl'!$N$6,'załatw vs. uwzgl'!$Q$6)</c:f>
              <c:numCache>
                <c:formatCode>0.000%</c:formatCode>
                <c:ptCount val="5"/>
                <c:pt idx="0">
                  <c:v>1.2984497065989713E-4</c:v>
                </c:pt>
                <c:pt idx="1">
                  <c:v>2.2927228051810905E-4</c:v>
                </c:pt>
                <c:pt idx="2">
                  <c:v>2.2114315437349522E-4</c:v>
                </c:pt>
                <c:pt idx="3">
                  <c:v>2.3071116103965135E-4</c:v>
                </c:pt>
                <c:pt idx="4">
                  <c:v>3.0645530337009973E-4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3384192"/>
        <c:axId val="103385728"/>
      </c:barChart>
      <c:catAx>
        <c:axId val="1033841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Arial Narrow" panose="020B0606020202030204" pitchFamily="34" charset="0"/>
              </a:defRPr>
            </a:pPr>
            <a:endParaRPr lang="pl-PL"/>
          </a:p>
        </c:txPr>
        <c:crossAx val="103385728"/>
        <c:crosses val="autoZero"/>
        <c:auto val="1"/>
        <c:lblAlgn val="ctr"/>
        <c:lblOffset val="100"/>
        <c:noMultiLvlLbl val="0"/>
      </c:catAx>
      <c:valAx>
        <c:axId val="103385728"/>
        <c:scaling>
          <c:orientation val="minMax"/>
        </c:scaling>
        <c:delete val="0"/>
        <c:axPos val="l"/>
        <c:majorGridlines/>
        <c:numFmt formatCode="0.000%" sourceLinked="1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Arial Narrow" panose="020B0606020202030204" pitchFamily="34" charset="0"/>
              </a:defRPr>
            </a:pPr>
            <a:endParaRPr lang="pl-PL"/>
          </a:p>
        </c:txPr>
        <c:crossAx val="10338419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  <c:userShapes r:id="rId2"/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pl-PL" sz="1000">
                <a:latin typeface="Arial Narrow" panose="020B0606020202030204" pitchFamily="34" charset="0"/>
              </a:rPr>
              <a:t>Wykres 16. </a:t>
            </a:r>
            <a:r>
              <a:rPr lang="pl-PL" sz="1000" b="1" i="0" baseline="0">
                <a:effectLst/>
                <a:latin typeface="Arial Narrow" panose="020B0606020202030204" pitchFamily="34" charset="0"/>
              </a:rPr>
              <a:t>Odsetek skarg uwzględnionych w stosunku do spraw załatwionych</a:t>
            </a:r>
            <a:r>
              <a:rPr lang="pl-PL" sz="1000" b="1" i="0" baseline="30000">
                <a:effectLst/>
                <a:latin typeface="Arial Narrow" panose="020B0606020202030204" pitchFamily="34" charset="0"/>
              </a:rPr>
              <a:t>*)</a:t>
            </a:r>
            <a:r>
              <a:rPr lang="pl-PL" sz="1000" b="1" i="0" baseline="0">
                <a:effectLst/>
                <a:latin typeface="Arial Narrow" panose="020B0606020202030204" pitchFamily="34" charset="0"/>
              </a:rPr>
              <a:t> - sprawy karne - sądy okręgowe</a:t>
            </a:r>
            <a:endParaRPr lang="pl-PL" sz="1000">
              <a:effectLst/>
              <a:latin typeface="Arial Narrow" panose="020B0606020202030204" pitchFamily="34" charset="0"/>
            </a:endParaRP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0.13246113155192468"/>
          <c:y val="0.17320553780617678"/>
          <c:w val="0.82685462766493423"/>
          <c:h val="0.63672729407226658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chemeClr val="tx2">
                <a:lumMod val="75000"/>
              </a:schemeClr>
            </a:solidFill>
          </c:spPr>
          <c:invertIfNegative val="0"/>
          <c:dLbls>
            <c:numFmt formatCode="0.000%" sourceLinked="0"/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b="1"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'załatw vs. uwzgl'!$J$2:$N$2</c:f>
              <c:numCache>
                <c:formatCode>General</c:formatCode>
                <c:ptCount val="5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  <c:pt idx="4">
                  <c:v>2013</c:v>
                </c:pt>
              </c:numCache>
            </c:numRef>
          </c:cat>
          <c:val>
            <c:numRef>
              <c:f>('załatw vs. uwzgl'!$E$8,'załatw vs. uwzgl'!$H$8,'załatw vs. uwzgl'!$K$8,'załatw vs. uwzgl'!$N$8,'załatw vs. uwzgl'!$Q$8)</c:f>
              <c:numCache>
                <c:formatCode>0.000%</c:formatCode>
                <c:ptCount val="5"/>
                <c:pt idx="0">
                  <c:v>3.4196891191709843E-3</c:v>
                </c:pt>
                <c:pt idx="1">
                  <c:v>5.2542876970357883E-3</c:v>
                </c:pt>
                <c:pt idx="2">
                  <c:v>6.6178682442595005E-3</c:v>
                </c:pt>
                <c:pt idx="3">
                  <c:v>6.6305003013863778E-3</c:v>
                </c:pt>
                <c:pt idx="4">
                  <c:v>8.5558189877332231E-3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3406976"/>
        <c:axId val="103441536"/>
      </c:barChart>
      <c:catAx>
        <c:axId val="1034069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Arial Narrow" panose="020B0606020202030204" pitchFamily="34" charset="0"/>
              </a:defRPr>
            </a:pPr>
            <a:endParaRPr lang="pl-PL"/>
          </a:p>
        </c:txPr>
        <c:crossAx val="103441536"/>
        <c:crosses val="autoZero"/>
        <c:auto val="1"/>
        <c:lblAlgn val="ctr"/>
        <c:lblOffset val="100"/>
        <c:noMultiLvlLbl val="0"/>
      </c:catAx>
      <c:valAx>
        <c:axId val="103441536"/>
        <c:scaling>
          <c:orientation val="minMax"/>
        </c:scaling>
        <c:delete val="0"/>
        <c:axPos val="l"/>
        <c:majorGridlines/>
        <c:numFmt formatCode="0.000%" sourceLinked="1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Arial Narrow" panose="020B0606020202030204" pitchFamily="34" charset="0"/>
              </a:defRPr>
            </a:pPr>
            <a:endParaRPr lang="pl-PL"/>
          </a:p>
        </c:txPr>
        <c:crossAx val="10340697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  <c:userShapes r:id="rId2"/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>
                <a:latin typeface="Arial Narrow" panose="020B0606020202030204" pitchFamily="34" charset="0"/>
              </a:defRPr>
            </a:pPr>
            <a:r>
              <a:rPr lang="pl-PL" sz="1000" b="1" i="0" baseline="0">
                <a:effectLst/>
                <a:latin typeface="Arial Narrow" panose="020B0606020202030204" pitchFamily="34" charset="0"/>
              </a:rPr>
              <a:t>Wykres 17. Odsetek skarg uwzględnionych w stosunku do spraw załatwionych</a:t>
            </a:r>
            <a:r>
              <a:rPr lang="pl-PL" sz="1000" b="1" i="0" baseline="30000">
                <a:effectLst/>
                <a:latin typeface="Arial Narrow" panose="020B0606020202030204" pitchFamily="34" charset="0"/>
              </a:rPr>
              <a:t>*)</a:t>
            </a:r>
            <a:r>
              <a:rPr lang="pl-PL" sz="1000" b="1" i="0" baseline="0">
                <a:effectLst/>
                <a:latin typeface="Arial Narrow" panose="020B0606020202030204" pitchFamily="34" charset="0"/>
              </a:rPr>
              <a:t> </a:t>
            </a:r>
            <a:br>
              <a:rPr lang="pl-PL" sz="1000" b="1" i="0" baseline="0">
                <a:effectLst/>
                <a:latin typeface="Arial Narrow" panose="020B0606020202030204" pitchFamily="34" charset="0"/>
              </a:rPr>
            </a:br>
            <a:r>
              <a:rPr lang="pl-PL" sz="1000" b="1" i="0" baseline="0">
                <a:effectLst/>
                <a:latin typeface="Arial Narrow" panose="020B0606020202030204" pitchFamily="34" charset="0"/>
              </a:rPr>
              <a:t>- sprawy karne - sądy rejonowe</a:t>
            </a:r>
            <a:endParaRPr lang="pl-PL" sz="1000">
              <a:effectLst/>
              <a:latin typeface="Arial Narrow" panose="020B0606020202030204" pitchFamily="34" charset="0"/>
            </a:endParaRP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0.13246113155192468"/>
          <c:y val="0.17320553780617678"/>
          <c:w val="0.82685462766493423"/>
          <c:h val="0.62394774135661157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chemeClr val="tx2">
                <a:lumMod val="40000"/>
                <a:lumOff val="60000"/>
              </a:schemeClr>
            </a:solidFill>
          </c:spPr>
          <c:invertIfNegative val="0"/>
          <c:dLbls>
            <c:numFmt formatCode="0.000%" sourceLinked="0"/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b="1"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'załatw vs. uwzgl'!$J$2:$N$2</c:f>
              <c:numCache>
                <c:formatCode>General</c:formatCode>
                <c:ptCount val="5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  <c:pt idx="4">
                  <c:v>2013</c:v>
                </c:pt>
              </c:numCache>
            </c:numRef>
          </c:cat>
          <c:val>
            <c:numRef>
              <c:f>('załatw vs. uwzgl'!$E$15,'załatw vs. uwzgl'!$H$15,'załatw vs. uwzgl'!$K$15,'załatw vs. uwzgl'!$N$15,'załatw vs. uwzgl'!$Q$15)</c:f>
              <c:numCache>
                <c:formatCode>0.000%</c:formatCode>
                <c:ptCount val="5"/>
                <c:pt idx="0">
                  <c:v>1.0765248380144688E-4</c:v>
                </c:pt>
                <c:pt idx="1">
                  <c:v>1.8983658493319932E-4</c:v>
                </c:pt>
                <c:pt idx="2">
                  <c:v>1.7107928269124976E-4</c:v>
                </c:pt>
                <c:pt idx="3">
                  <c:v>1.7835303709743173E-4</c:v>
                </c:pt>
                <c:pt idx="4">
                  <c:v>2.3981693973600151E-4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3462016"/>
        <c:axId val="103463552"/>
      </c:barChart>
      <c:catAx>
        <c:axId val="10346201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Arial Narrow" panose="020B0606020202030204" pitchFamily="34" charset="0"/>
              </a:defRPr>
            </a:pPr>
            <a:endParaRPr lang="pl-PL"/>
          </a:p>
        </c:txPr>
        <c:crossAx val="103463552"/>
        <c:crosses val="autoZero"/>
        <c:auto val="1"/>
        <c:lblAlgn val="ctr"/>
        <c:lblOffset val="100"/>
        <c:noMultiLvlLbl val="0"/>
      </c:catAx>
      <c:valAx>
        <c:axId val="103463552"/>
        <c:scaling>
          <c:orientation val="minMax"/>
        </c:scaling>
        <c:delete val="0"/>
        <c:axPos val="l"/>
        <c:majorGridlines/>
        <c:numFmt formatCode="0.000%" sourceLinked="1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Arial Narrow" panose="020B0606020202030204" pitchFamily="34" charset="0"/>
              </a:defRPr>
            </a:pPr>
            <a:endParaRPr lang="pl-PL"/>
          </a:p>
        </c:txPr>
        <c:crossAx val="10346201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  <c:userShapes r:id="rId2"/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pl-PL" sz="1000">
                <a:latin typeface="Arial Narrow" panose="020B0606020202030204" pitchFamily="34" charset="0"/>
              </a:rPr>
              <a:t>Wykres 18. Liczba skarg na postępowanie cywilne, w których zasądzono</a:t>
            </a:r>
            <a:r>
              <a:rPr lang="pl-PL" sz="1000" baseline="0">
                <a:latin typeface="Arial Narrow" panose="020B0606020202030204" pitchFamily="34" charset="0"/>
              </a:rPr>
              <a:t> </a:t>
            </a:r>
            <a:r>
              <a:rPr lang="pl-PL" sz="1000">
                <a:latin typeface="Arial Narrow" panose="020B0606020202030204" pitchFamily="34" charset="0"/>
              </a:rPr>
              <a:t>odszkodowanie - w stosunku do ogólnej liczby skarg rozpatrzonych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rgbClr val="7030A0"/>
            </a:solidFill>
          </c:spPr>
          <c:invertIfNegative val="0"/>
          <c:dLbls>
            <c:numFmt formatCode="0.0%" sourceLinked="0"/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sz="900" b="1"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(cywilne!$B$6;cywilne!$B$14;cywilne!$B$22;cywilne!$B$30;cywilne!$B$38)</c:f>
              <c:numCache>
                <c:formatCode>General</c:formatCode>
                <c:ptCount val="5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  <c:pt idx="4">
                  <c:v>2013</c:v>
                </c:pt>
              </c:numCache>
            </c:numRef>
          </c:cat>
          <c:val>
            <c:numRef>
              <c:f>(cywilne!$J$7;cywilne!$J$15;cywilne!$J$23;cywilne!$J$31;cywilne!$J$39)</c:f>
              <c:numCache>
                <c:formatCode>0.0%</c:formatCode>
                <c:ptCount val="5"/>
                <c:pt idx="0">
                  <c:v>0.16585365853658537</c:v>
                </c:pt>
                <c:pt idx="1">
                  <c:v>0.19961464354527939</c:v>
                </c:pt>
                <c:pt idx="2">
                  <c:v>0.18853102906520031</c:v>
                </c:pt>
                <c:pt idx="3">
                  <c:v>0.14198821516821897</c:v>
                </c:pt>
                <c:pt idx="4">
                  <c:v>0.10642477467067252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3492992"/>
        <c:axId val="103498880"/>
      </c:barChart>
      <c:catAx>
        <c:axId val="1034929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103498880"/>
        <c:crosses val="autoZero"/>
        <c:auto val="1"/>
        <c:lblAlgn val="ctr"/>
        <c:lblOffset val="100"/>
        <c:noMultiLvlLbl val="0"/>
      </c:catAx>
      <c:valAx>
        <c:axId val="103498880"/>
        <c:scaling>
          <c:orientation val="minMax"/>
        </c:scaling>
        <c:delete val="0"/>
        <c:axPos val="l"/>
        <c:majorGridlines/>
        <c:numFmt formatCode="0.0%" sourceLinked="1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Arial Narrow" panose="020B0606020202030204" pitchFamily="34" charset="0"/>
              </a:defRPr>
            </a:pPr>
            <a:endParaRPr lang="pl-PL"/>
          </a:p>
        </c:txPr>
        <c:crossAx val="10349299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pl-PL" sz="1000">
                <a:latin typeface="Arial Narrow" panose="020B0606020202030204" pitchFamily="34" charset="0"/>
              </a:rPr>
              <a:t>Wykres 19. Liczba oddalonych  skarg na postępowanie cywilne </a:t>
            </a:r>
            <a:br>
              <a:rPr lang="pl-PL" sz="1000">
                <a:latin typeface="Arial Narrow" panose="020B0606020202030204" pitchFamily="34" charset="0"/>
              </a:rPr>
            </a:br>
            <a:r>
              <a:rPr lang="pl-PL" sz="1000">
                <a:latin typeface="Arial Narrow" panose="020B0606020202030204" pitchFamily="34" charset="0"/>
              </a:rPr>
              <a:t> - w stosunku do ogólnej liczby skarg  rozpatrzonych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3">
                <a:lumMod val="50000"/>
              </a:schemeClr>
            </a:solidFill>
          </c:spPr>
          <c:invertIfNegative val="0"/>
          <c:dLbls>
            <c:numFmt formatCode="0.0%" sourceLinked="0"/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sz="900" b="1"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(cywilne!$B$6;cywilne!$B$14;cywilne!$B$22;cywilne!$B$30;cywilne!$B$38)</c:f>
              <c:numCache>
                <c:formatCode>General</c:formatCode>
                <c:ptCount val="5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  <c:pt idx="4">
                  <c:v>2013</c:v>
                </c:pt>
              </c:numCache>
            </c:numRef>
          </c:cat>
          <c:val>
            <c:numRef>
              <c:f>(cywilne!$K$7;cywilne!$K$15;cywilne!$K$23;cywilne!$K$31;cywilne!$K$39)</c:f>
              <c:numCache>
                <c:formatCode>0.0%</c:formatCode>
                <c:ptCount val="5"/>
                <c:pt idx="0">
                  <c:v>0.34390243902439022</c:v>
                </c:pt>
                <c:pt idx="1">
                  <c:v>0.38651252408477843</c:v>
                </c:pt>
                <c:pt idx="2">
                  <c:v>0.34171249018067557</c:v>
                </c:pt>
                <c:pt idx="3">
                  <c:v>0.29519102832161187</c:v>
                </c:pt>
                <c:pt idx="4">
                  <c:v>0.24601340420614745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3523456"/>
        <c:axId val="103524992"/>
      </c:barChart>
      <c:catAx>
        <c:axId val="10352345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103524992"/>
        <c:crosses val="autoZero"/>
        <c:auto val="1"/>
        <c:lblAlgn val="ctr"/>
        <c:lblOffset val="100"/>
        <c:noMultiLvlLbl val="0"/>
      </c:catAx>
      <c:valAx>
        <c:axId val="103524992"/>
        <c:scaling>
          <c:orientation val="minMax"/>
        </c:scaling>
        <c:delete val="0"/>
        <c:axPos val="l"/>
        <c:majorGridlines/>
        <c:numFmt formatCode="0.0%" sourceLinked="1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Arial Narrow" panose="020B0606020202030204" pitchFamily="34" charset="0"/>
              </a:defRPr>
            </a:pPr>
            <a:endParaRPr lang="pl-PL"/>
          </a:p>
        </c:txPr>
        <c:crossAx val="103523456"/>
        <c:crosses val="autoZero"/>
        <c:crossBetween val="between"/>
        <c:majorUnit val="0.1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pl-PL" sz="1000">
                <a:latin typeface="Arial Narrow" panose="020B0606020202030204" pitchFamily="34" charset="0"/>
              </a:rPr>
              <a:t>Wykres 20. Liczba odrzuconych skarg na postępowanie cywilne </a:t>
            </a:r>
            <a:br>
              <a:rPr lang="pl-PL" sz="1000">
                <a:latin typeface="Arial Narrow" panose="020B0606020202030204" pitchFamily="34" charset="0"/>
              </a:rPr>
            </a:br>
            <a:r>
              <a:rPr lang="pl-PL" sz="1000">
                <a:latin typeface="Arial Narrow" panose="020B0606020202030204" pitchFamily="34" charset="0"/>
              </a:rPr>
              <a:t>- w stosunku do ogólnej liczby skarg  rozpatrzonych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6">
                <a:lumMod val="50000"/>
              </a:schemeClr>
            </a:solidFill>
          </c:spPr>
          <c:invertIfNegative val="0"/>
          <c:dLbls>
            <c:numFmt formatCode="0.0%" sourceLinked="0"/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sz="900" b="1"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(cywilne!$B$6;cywilne!$B$14;cywilne!$B$22;cywilne!$B$30;cywilne!$B$38)</c:f>
              <c:numCache>
                <c:formatCode>General</c:formatCode>
                <c:ptCount val="5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  <c:pt idx="4">
                  <c:v>2013</c:v>
                </c:pt>
              </c:numCache>
            </c:numRef>
          </c:cat>
          <c:val>
            <c:numRef>
              <c:f>(cywilne!$L$7;cywilne!$L$15;cywilne!$L$23;cywilne!$L$31;cywilne!$L$39)</c:f>
              <c:numCache>
                <c:formatCode>0.0%</c:formatCode>
                <c:ptCount val="5"/>
                <c:pt idx="0">
                  <c:v>0.37219512195121951</c:v>
                </c:pt>
                <c:pt idx="1">
                  <c:v>0.30520231213872834</c:v>
                </c:pt>
                <c:pt idx="2">
                  <c:v>0.36135113904163396</c:v>
                </c:pt>
                <c:pt idx="3">
                  <c:v>0.48545903820566433</c:v>
                </c:pt>
                <c:pt idx="4">
                  <c:v>0.58562514444187663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3885440"/>
        <c:axId val="103891328"/>
      </c:barChart>
      <c:catAx>
        <c:axId val="10388544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103891328"/>
        <c:crosses val="autoZero"/>
        <c:auto val="1"/>
        <c:lblAlgn val="ctr"/>
        <c:lblOffset val="100"/>
        <c:noMultiLvlLbl val="0"/>
      </c:catAx>
      <c:valAx>
        <c:axId val="103891328"/>
        <c:scaling>
          <c:orientation val="minMax"/>
        </c:scaling>
        <c:delete val="0"/>
        <c:axPos val="l"/>
        <c:majorGridlines/>
        <c:numFmt formatCode="0.0%" sourceLinked="1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Arial Narrow" panose="020B0606020202030204" pitchFamily="34" charset="0"/>
              </a:defRPr>
            </a:pPr>
            <a:endParaRPr lang="pl-PL"/>
          </a:p>
        </c:txPr>
        <c:crossAx val="10388544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pl-PL" sz="1000">
                <a:latin typeface="Arial Narrow" panose="020B0606020202030204" pitchFamily="34" charset="0"/>
              </a:rPr>
              <a:t>Wykres 21. Średnia wartość zasądzonego odszkodowania </a:t>
            </a:r>
            <a:br>
              <a:rPr lang="pl-PL" sz="1000">
                <a:latin typeface="Arial Narrow" panose="020B0606020202030204" pitchFamily="34" charset="0"/>
              </a:rPr>
            </a:br>
            <a:r>
              <a:rPr lang="pl-PL" sz="1000">
                <a:latin typeface="Arial Narrow" panose="020B0606020202030204" pitchFamily="34" charset="0"/>
              </a:rPr>
              <a:t>za przewlekłość postępowania cywilnego  (w zł.)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rgbClr val="0070C0"/>
            </a:solidFill>
          </c:spPr>
          <c:invertIfNegative val="0"/>
          <c:dLbls>
            <c:numFmt formatCode="#,##0.0" sourceLinked="0"/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sz="900" b="1"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(cywilne!$B$6;cywilne!$B$14;cywilne!$B$22;cywilne!$B$30;cywilne!$B$38)</c:f>
              <c:numCache>
                <c:formatCode>General</c:formatCode>
                <c:ptCount val="5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  <c:pt idx="4">
                  <c:v>2013</c:v>
                </c:pt>
              </c:numCache>
            </c:numRef>
          </c:cat>
          <c:val>
            <c:numRef>
              <c:f>(cywilne!$I$7;cywilne!$I$15;cywilne!$I$23;cywilne!$I$31;cywilne!$I$39)</c:f>
              <c:numCache>
                <c:formatCode>General</c:formatCode>
                <c:ptCount val="5"/>
                <c:pt idx="0">
                  <c:v>2905.705882352941</c:v>
                </c:pt>
                <c:pt idx="1">
                  <c:v>3048.0501930501932</c:v>
                </c:pt>
                <c:pt idx="2">
                  <c:v>2978.2638888888887</c:v>
                </c:pt>
                <c:pt idx="3">
                  <c:v>2797.5087014725568</c:v>
                </c:pt>
                <c:pt idx="4">
                  <c:v>2926.5960912052119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3940480"/>
        <c:axId val="103942016"/>
      </c:barChart>
      <c:catAx>
        <c:axId val="1039404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103942016"/>
        <c:crosses val="autoZero"/>
        <c:auto val="1"/>
        <c:lblAlgn val="ctr"/>
        <c:lblOffset val="100"/>
        <c:noMultiLvlLbl val="0"/>
      </c:catAx>
      <c:valAx>
        <c:axId val="10394201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Arial Narrow" panose="020B0606020202030204" pitchFamily="34" charset="0"/>
              </a:defRPr>
            </a:pPr>
            <a:endParaRPr lang="pl-PL"/>
          </a:p>
        </c:txPr>
        <c:crossAx val="10394048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00">
                <a:latin typeface="Arial Narrow" panose="020B0606020202030204" pitchFamily="34" charset="0"/>
              </a:defRPr>
            </a:pPr>
            <a:r>
              <a:rPr lang="pl-PL" sz="1100">
                <a:latin typeface="Arial Narrow" panose="020B0606020202030204" pitchFamily="34" charset="0"/>
              </a:rPr>
              <a:t>Wykres 22. Struktura wpływu skarg</a:t>
            </a:r>
            <a:r>
              <a:rPr lang="pl-PL" sz="1100" baseline="30000">
                <a:latin typeface="Arial Narrow" panose="020B0606020202030204" pitchFamily="34" charset="0"/>
              </a:rPr>
              <a:t> </a:t>
            </a:r>
            <a:r>
              <a:rPr lang="pl-PL" sz="1100">
                <a:latin typeface="Arial Narrow" panose="020B0606020202030204" pitchFamily="34" charset="0"/>
              </a:rPr>
              <a:t>na postępowanie cywilne w 2013 r. </a:t>
            </a: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7.0766109441985026E-2"/>
          <c:y val="0.15043264221721525"/>
          <c:w val="0.45246786662365374"/>
          <c:h val="0.77476682442975187"/>
        </c:manualLayout>
      </c:layout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5">
                  <a:lumMod val="75000"/>
                </a:schemeClr>
              </a:solidFill>
            </c:spPr>
          </c:dPt>
          <c:dPt>
            <c:idx val="1"/>
            <c:bubble3D val="0"/>
            <c:spPr>
              <a:solidFill>
                <a:schemeClr val="accent2">
                  <a:lumMod val="75000"/>
                </a:schemeClr>
              </a:solidFill>
            </c:spPr>
          </c:dPt>
          <c:dPt>
            <c:idx val="2"/>
            <c:bubble3D val="0"/>
            <c:spPr>
              <a:solidFill>
                <a:srgbClr val="00B050"/>
              </a:solidFill>
            </c:spPr>
          </c:dPt>
          <c:dPt>
            <c:idx val="3"/>
            <c:bubble3D val="0"/>
            <c:spPr>
              <a:solidFill>
                <a:schemeClr val="accent4">
                  <a:lumMod val="75000"/>
                </a:schemeClr>
              </a:solidFill>
            </c:spPr>
          </c:dPt>
          <c:dPt>
            <c:idx val="4"/>
            <c:bubble3D val="0"/>
            <c:spPr>
              <a:solidFill>
                <a:schemeClr val="accent6">
                  <a:lumMod val="75000"/>
                </a:schemeClr>
              </a:solidFill>
            </c:spPr>
          </c:dPt>
          <c:dPt>
            <c:idx val="5"/>
            <c:bubble3D val="0"/>
            <c:spPr>
              <a:solidFill>
                <a:schemeClr val="bg1">
                  <a:lumMod val="75000"/>
                </a:schemeClr>
              </a:solidFill>
            </c:spPr>
          </c:dPt>
          <c:dLbls>
            <c:dLbl>
              <c:idx val="1"/>
              <c:layout>
                <c:manualLayout>
                  <c:x val="-5.7676641260537842E-2"/>
                  <c:y val="0.1123359019333215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7.6875531993454774E-2"/>
                  <c:y val="3.510586365555803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7.379065013001046E-2"/>
                  <c:y val="-1.53600216163046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1.0909606781531907E-2"/>
                  <c:y val="-0.1528275397577283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9.5719760423185002E-2"/>
                  <c:y val="9.32968491640486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numFmt formatCode="#,##0" sourceLinked="0"/>
            <c:txPr>
              <a:bodyPr/>
              <a:lstStyle/>
              <a:p>
                <a:pPr>
                  <a:defRPr sz="900" b="1">
                    <a:solidFill>
                      <a:sysClr val="windowText" lastClr="000000"/>
                    </a:solidFill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cywilne!$A$41:$A$46</c:f>
              <c:strCache>
                <c:ptCount val="6"/>
                <c:pt idx="0">
                  <c:v>zbyt odległe wyznaczenie terminu pierwszej rozprawy</c:v>
                </c:pt>
                <c:pt idx="1">
                  <c:v>przwlekłośc trwania tzw. czynności wstępnych</c:v>
                </c:pt>
                <c:pt idx="2">
                  <c:v>przewlekłość postępowania wykonawczego sądu</c:v>
                </c:pt>
                <c:pt idx="3">
                  <c:v>przewlekłość postępowania wykonawczego komornika</c:v>
                </c:pt>
                <c:pt idx="4">
                  <c:v>bezczynność w podejmowaniu czynności procesowych</c:v>
                </c:pt>
                <c:pt idx="5">
                  <c:v>inne</c:v>
                </c:pt>
              </c:strCache>
            </c:strRef>
          </c:cat>
          <c:val>
            <c:numRef>
              <c:f>cywilne!$B$41:$B$46</c:f>
              <c:numCache>
                <c:formatCode>General</c:formatCode>
                <c:ptCount val="6"/>
                <c:pt idx="0">
                  <c:v>266</c:v>
                </c:pt>
                <c:pt idx="1">
                  <c:v>1072</c:v>
                </c:pt>
                <c:pt idx="2">
                  <c:v>863</c:v>
                </c:pt>
                <c:pt idx="3">
                  <c:v>477</c:v>
                </c:pt>
                <c:pt idx="4">
                  <c:v>3651</c:v>
                </c:pt>
                <c:pt idx="5">
                  <c:v>2667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60101867572156198"/>
          <c:y val="0.22330629984428205"/>
          <c:w val="0.38539898132427841"/>
          <c:h val="0.55338709905788974"/>
        </c:manualLayout>
      </c:layout>
      <c:overlay val="0"/>
      <c:txPr>
        <a:bodyPr/>
        <a:lstStyle/>
        <a:p>
          <a:pPr rtl="0">
            <a:defRPr sz="800" b="1">
              <a:latin typeface="Arial Narrow" panose="020B0606020202030204" pitchFamily="34" charset="0"/>
            </a:defRPr>
          </a:pPr>
          <a:endParaRPr lang="pl-PL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00">
                <a:latin typeface="Arial Narrow" panose="020B0606020202030204" pitchFamily="34" charset="0"/>
              </a:defRPr>
            </a:pPr>
            <a:r>
              <a:rPr lang="pl-PL" sz="1100">
                <a:latin typeface="Arial Narrow" panose="020B0606020202030204" pitchFamily="34" charset="0"/>
              </a:rPr>
              <a:t>Wykres 23. Struktura orzeczeń o wypłacie odszkodowania w związku ze skargą na postępowanie cywilne w 2013 r. </a:t>
            </a:r>
          </a:p>
        </c:rich>
      </c:tx>
      <c:layout>
        <c:manualLayout>
          <c:xMode val="edge"/>
          <c:yMode val="edge"/>
          <c:x val="0.11741643408042543"/>
          <c:y val="1.5068684130124613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4.8411695888249312E-2"/>
          <c:y val="0.15903099065614612"/>
          <c:w val="0.50214526967938533"/>
          <c:h val="0.78436919348282808"/>
        </c:manualLayout>
      </c:layout>
      <c:pieChart>
        <c:varyColors val="1"/>
        <c:ser>
          <c:idx val="1"/>
          <c:order val="1"/>
          <c:dPt>
            <c:idx val="0"/>
            <c:bubble3D val="0"/>
            <c:spPr>
              <a:solidFill>
                <a:schemeClr val="accent5">
                  <a:lumMod val="75000"/>
                </a:schemeClr>
              </a:solidFill>
            </c:spPr>
          </c:dPt>
          <c:dPt>
            <c:idx val="1"/>
            <c:bubble3D val="0"/>
            <c:spPr>
              <a:solidFill>
                <a:schemeClr val="accent2">
                  <a:lumMod val="75000"/>
                </a:schemeClr>
              </a:solidFill>
            </c:spPr>
          </c:dPt>
          <c:dPt>
            <c:idx val="2"/>
            <c:bubble3D val="0"/>
            <c:spPr>
              <a:solidFill>
                <a:srgbClr val="00B050"/>
              </a:solidFill>
            </c:spPr>
          </c:dPt>
          <c:dPt>
            <c:idx val="3"/>
            <c:bubble3D val="0"/>
            <c:spPr>
              <a:solidFill>
                <a:schemeClr val="accent4">
                  <a:lumMod val="75000"/>
                </a:schemeClr>
              </a:solidFill>
            </c:spPr>
          </c:dPt>
          <c:dPt>
            <c:idx val="4"/>
            <c:bubble3D val="0"/>
            <c:spPr>
              <a:solidFill>
                <a:schemeClr val="accent6">
                  <a:lumMod val="75000"/>
                </a:schemeClr>
              </a:solidFill>
            </c:spPr>
          </c:dPt>
          <c:dPt>
            <c:idx val="5"/>
            <c:bubble3D val="0"/>
            <c:spPr>
              <a:solidFill>
                <a:schemeClr val="bg1">
                  <a:lumMod val="75000"/>
                </a:schemeClr>
              </a:solidFill>
            </c:spPr>
          </c:dPt>
          <c:dLbls>
            <c:dLbl>
              <c:idx val="0"/>
              <c:layout>
                <c:manualLayout>
                  <c:x val="-2.4667200441530274E-2"/>
                  <c:y val="0.1075491818929401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5.2019145934306822E-2"/>
                  <c:y val="9.64106863745355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7.793485485080863E-2"/>
                  <c:y val="4.824313630017870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6.9126889426982321E-2"/>
                  <c:y val="-2.60277677687583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3.4216652998402562E-2"/>
                  <c:y val="-0.1510923120308683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8.8106861209466467E-2"/>
                  <c:y val="8.520631852278408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900" b="1"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cywilne!$A$41:$A$46</c:f>
              <c:strCache>
                <c:ptCount val="6"/>
                <c:pt idx="0">
                  <c:v>zbyt odległe wyznaczenie terminu pierwszej rozprawy</c:v>
                </c:pt>
                <c:pt idx="1">
                  <c:v>przwlekłośc trwania tzw. czynności wstępnych</c:v>
                </c:pt>
                <c:pt idx="2">
                  <c:v>przewlekłość postępowania wykonawczego sądu</c:v>
                </c:pt>
                <c:pt idx="3">
                  <c:v>przewlekłość postępowania wykonawczego komornika</c:v>
                </c:pt>
                <c:pt idx="4">
                  <c:v>bezczynność w podejmowaniu czynności procesowych</c:v>
                </c:pt>
                <c:pt idx="5">
                  <c:v>inne</c:v>
                </c:pt>
              </c:strCache>
            </c:strRef>
          </c:cat>
          <c:val>
            <c:numRef>
              <c:f>cywilne!$E$41:$E$46</c:f>
              <c:numCache>
                <c:formatCode>General</c:formatCode>
                <c:ptCount val="6"/>
                <c:pt idx="0">
                  <c:v>67</c:v>
                </c:pt>
                <c:pt idx="1">
                  <c:v>58</c:v>
                </c:pt>
                <c:pt idx="2">
                  <c:v>100</c:v>
                </c:pt>
                <c:pt idx="3">
                  <c:v>92</c:v>
                </c:pt>
                <c:pt idx="4">
                  <c:v>333</c:v>
                </c:pt>
                <c:pt idx="5">
                  <c:v>271</c:v>
                </c:pt>
              </c:numCache>
            </c:numRef>
          </c:val>
        </c:ser>
        <c:ser>
          <c:idx val="0"/>
          <c:order val="0"/>
          <c:dPt>
            <c:idx val="0"/>
            <c:bubble3D val="0"/>
            <c:spPr>
              <a:solidFill>
                <a:schemeClr val="tx2">
                  <a:lumMod val="20000"/>
                  <a:lumOff val="80000"/>
                </a:schemeClr>
              </a:solidFill>
            </c:spPr>
          </c:dPt>
          <c:dPt>
            <c:idx val="1"/>
            <c:bubble3D val="0"/>
            <c:spPr>
              <a:solidFill>
                <a:schemeClr val="tx2">
                  <a:lumMod val="40000"/>
                  <a:lumOff val="60000"/>
                </a:schemeClr>
              </a:solidFill>
            </c:spPr>
          </c:dPt>
          <c:dPt>
            <c:idx val="2"/>
            <c:bubble3D val="0"/>
            <c:spPr>
              <a:solidFill>
                <a:schemeClr val="tx2">
                  <a:lumMod val="60000"/>
                  <a:lumOff val="40000"/>
                </a:schemeClr>
              </a:solidFill>
            </c:spPr>
          </c:dPt>
          <c:dPt>
            <c:idx val="3"/>
            <c:bubble3D val="0"/>
            <c:spPr>
              <a:solidFill>
                <a:schemeClr val="tx2">
                  <a:lumMod val="75000"/>
                </a:schemeClr>
              </a:solidFill>
            </c:spPr>
          </c:dPt>
          <c:dPt>
            <c:idx val="4"/>
            <c:bubble3D val="0"/>
            <c:spPr>
              <a:solidFill>
                <a:schemeClr val="tx2"/>
              </a:solidFill>
            </c:spPr>
          </c:dPt>
          <c:dPt>
            <c:idx val="5"/>
            <c:bubble3D val="0"/>
            <c:spPr>
              <a:solidFill>
                <a:schemeClr val="tx2">
                  <a:lumMod val="50000"/>
                </a:schemeClr>
              </a:solidFill>
            </c:spPr>
          </c:dPt>
          <c:dLbls>
            <c:dLbl>
              <c:idx val="0"/>
              <c:numFmt formatCode="#,##0" sourceLinked="0"/>
              <c:spPr/>
              <c:txPr>
                <a:bodyPr/>
                <a:lstStyle/>
                <a:p>
                  <a:pPr>
                    <a:defRPr sz="800" b="1">
                      <a:solidFill>
                        <a:sysClr val="windowText" lastClr="000000"/>
                      </a:solidFill>
                      <a:latin typeface="Arial Narrow" panose="020B0606020202030204" pitchFamily="34" charset="0"/>
                    </a:defRPr>
                  </a:pPr>
                  <a:endParaRPr lang="pl-PL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3.5053852563845479E-3"/>
                  <c:y val="-0.1316969039871810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8.3379365355221932E-2"/>
                  <c:y val="8.061846148006469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numFmt formatCode="#,##0" sourceLinked="0"/>
            <c:txPr>
              <a:bodyPr/>
              <a:lstStyle/>
              <a:p>
                <a:pPr>
                  <a:defRPr sz="800" b="1">
                    <a:solidFill>
                      <a:schemeClr val="bg1"/>
                    </a:solidFill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cywilne!$A$41:$A$46</c:f>
              <c:strCache>
                <c:ptCount val="6"/>
                <c:pt idx="0">
                  <c:v>zbyt odległe wyznaczenie terminu pierwszej rozprawy</c:v>
                </c:pt>
                <c:pt idx="1">
                  <c:v>przwlekłośc trwania tzw. czynności wstępnych</c:v>
                </c:pt>
                <c:pt idx="2">
                  <c:v>przewlekłość postępowania wykonawczego sądu</c:v>
                </c:pt>
                <c:pt idx="3">
                  <c:v>przewlekłość postępowania wykonawczego komornika</c:v>
                </c:pt>
                <c:pt idx="4">
                  <c:v>bezczynność w podejmowaniu czynności procesowych</c:v>
                </c:pt>
                <c:pt idx="5">
                  <c:v>inne</c:v>
                </c:pt>
              </c:strCache>
            </c:strRef>
          </c:cat>
          <c:val>
            <c:numRef>
              <c:f>cywilne!$B$41:$B$46</c:f>
              <c:numCache>
                <c:formatCode>General</c:formatCode>
                <c:ptCount val="6"/>
                <c:pt idx="0">
                  <c:v>266</c:v>
                </c:pt>
                <c:pt idx="1">
                  <c:v>1072</c:v>
                </c:pt>
                <c:pt idx="2">
                  <c:v>863</c:v>
                </c:pt>
                <c:pt idx="3">
                  <c:v>477</c:v>
                </c:pt>
                <c:pt idx="4">
                  <c:v>3651</c:v>
                </c:pt>
                <c:pt idx="5">
                  <c:v>2667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60101867572156198"/>
          <c:y val="0.22330629984428205"/>
          <c:w val="0.38539898132427841"/>
          <c:h val="0.55338709905788974"/>
        </c:manualLayout>
      </c:layout>
      <c:overlay val="0"/>
      <c:txPr>
        <a:bodyPr/>
        <a:lstStyle/>
        <a:p>
          <a:pPr rtl="0">
            <a:defRPr sz="800" b="1">
              <a:latin typeface="Arial Narrow" panose="020B0606020202030204" pitchFamily="34" charset="0"/>
            </a:defRPr>
          </a:pPr>
          <a:endParaRPr lang="pl-PL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00"/>
            </a:pPr>
            <a:r>
              <a:rPr lang="pl-PL" sz="1100"/>
              <a:t>Wykres 24. Odsetek skarg uwzględnionych w stosunku do liczby spraw załatwionych </a:t>
            </a:r>
            <a:r>
              <a:rPr lang="pl-PL" sz="1100" baseline="30000"/>
              <a:t>*)</a:t>
            </a:r>
            <a:r>
              <a:rPr lang="pl-PL" sz="1100"/>
              <a:t> - sprawy cywilne</a:t>
            </a: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0.12940984003015882"/>
          <c:y val="0.16976133228101731"/>
          <c:w val="0.83084309583253313"/>
          <c:h val="0.61912107140453598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chemeClr val="accent4">
                <a:lumMod val="50000"/>
              </a:schemeClr>
            </a:solidFill>
          </c:spPr>
          <c:invertIfNegative val="0"/>
          <c:dLbls>
            <c:numFmt formatCode="0.000%" sourceLinked="0"/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sz="900" b="1"/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'załatw vs. uwzgl'!$B$26:$F$26</c:f>
              <c:numCache>
                <c:formatCode>General</c:formatCode>
                <c:ptCount val="5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  <c:pt idx="4">
                  <c:v>2013</c:v>
                </c:pt>
              </c:numCache>
            </c:numRef>
          </c:cat>
          <c:val>
            <c:numRef>
              <c:f>('załatw vs. uwzgl'!$E$7;'załatw vs. uwzgl'!$H$7;'załatw vs. uwzgl'!$K$7;'załatw vs. uwzgl'!$N$7;'załatw vs. uwzgl'!$Q$7)</c:f>
              <c:numCache>
                <c:formatCode>0.000%</c:formatCode>
                <c:ptCount val="5"/>
                <c:pt idx="0">
                  <c:v>1.9732127237506755E-4</c:v>
                </c:pt>
                <c:pt idx="1">
                  <c:v>2.0786932846193442E-4</c:v>
                </c:pt>
                <c:pt idx="2">
                  <c:v>2.3252384440238617E-4</c:v>
                </c:pt>
                <c:pt idx="3">
                  <c:v>1.9076023231011868E-4</c:v>
                </c:pt>
                <c:pt idx="4">
                  <c:v>2.1641334859220631E-4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7563008"/>
        <c:axId val="97564544"/>
      </c:barChart>
      <c:catAx>
        <c:axId val="975630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900" b="1"/>
            </a:pPr>
            <a:endParaRPr lang="pl-PL"/>
          </a:p>
        </c:txPr>
        <c:crossAx val="97564544"/>
        <c:crosses val="autoZero"/>
        <c:auto val="1"/>
        <c:lblAlgn val="ctr"/>
        <c:lblOffset val="100"/>
        <c:noMultiLvlLbl val="0"/>
      </c:catAx>
      <c:valAx>
        <c:axId val="97564544"/>
        <c:scaling>
          <c:orientation val="minMax"/>
        </c:scaling>
        <c:delete val="0"/>
        <c:axPos val="l"/>
        <c:majorGridlines/>
        <c:numFmt formatCode="0.000%" sourceLinked="1"/>
        <c:majorTickMark val="out"/>
        <c:minorTickMark val="none"/>
        <c:tickLblPos val="nextTo"/>
        <c:txPr>
          <a:bodyPr/>
          <a:lstStyle/>
          <a:p>
            <a:pPr>
              <a:defRPr sz="800" b="1"/>
            </a:pPr>
            <a:endParaRPr lang="pl-PL"/>
          </a:p>
        </c:txPr>
        <c:crossAx val="97563008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>
          <a:latin typeface="Arial Narrow" panose="020B0606020202030204" pitchFamily="34" charset="0"/>
        </a:defRPr>
      </a:pPr>
      <a:endParaRPr lang="pl-PL"/>
    </a:p>
  </c:txPr>
  <c:externalData r:id="rId1">
    <c:autoUpdate val="0"/>
  </c:externalData>
  <c:userShapes r:id="rId2"/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00"/>
            </a:pPr>
            <a:r>
              <a:rPr lang="pl-PL" sz="1100">
                <a:latin typeface="Arial Narrow" panose="020B0606020202030204" pitchFamily="34" charset="0"/>
              </a:rPr>
              <a:t>Wykres 25. Odsetek skarg uwzględnionych w stosunku do liczby spraw załatwionych </a:t>
            </a:r>
            <a:r>
              <a:rPr lang="pl-PL" sz="1100" baseline="30000">
                <a:latin typeface="Arial Narrow" panose="020B0606020202030204" pitchFamily="34" charset="0"/>
              </a:rPr>
              <a:t>*)</a:t>
            </a:r>
            <a:r>
              <a:rPr lang="pl-PL" sz="1100">
                <a:latin typeface="Arial Narrow" panose="020B0606020202030204" pitchFamily="34" charset="0"/>
              </a:rPr>
              <a:t> - sprawy cywilne - sądy okręgowe</a:t>
            </a: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0.13338612003108549"/>
          <c:y val="0.16686867932977573"/>
          <c:w val="0.82564553732459423"/>
          <c:h val="0.60604619920140312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chemeClr val="accent4">
                <a:lumMod val="75000"/>
              </a:schemeClr>
            </a:solidFill>
          </c:spPr>
          <c:invertIfNegative val="0"/>
          <c:dLbls>
            <c:numFmt formatCode="0.000%" sourceLinked="0"/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sz="900" b="1"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'załatw vs. uwzgl'!$J$2:$N$2</c:f>
              <c:numCache>
                <c:formatCode>General</c:formatCode>
                <c:ptCount val="5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  <c:pt idx="4">
                  <c:v>2013</c:v>
                </c:pt>
              </c:numCache>
            </c:numRef>
          </c:cat>
          <c:val>
            <c:numRef>
              <c:f>('załatw vs. uwzgl'!$E$9;'załatw vs. uwzgl'!$H$9;'załatw vs. uwzgl'!$K$9;'załatw vs. uwzgl'!$N$9;'załatw vs. uwzgl'!$Q$9)</c:f>
              <c:numCache>
                <c:formatCode>0.000%</c:formatCode>
                <c:ptCount val="5"/>
                <c:pt idx="0">
                  <c:v>3.5215681124991794E-4</c:v>
                </c:pt>
                <c:pt idx="1">
                  <c:v>4.8636672050726248E-4</c:v>
                </c:pt>
                <c:pt idx="2">
                  <c:v>6.5150863099507485E-4</c:v>
                </c:pt>
                <c:pt idx="3">
                  <c:v>6.4029136194084652E-4</c:v>
                </c:pt>
                <c:pt idx="4">
                  <c:v>6.8900372284269595E-4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4235648"/>
        <c:axId val="114237440"/>
      </c:barChart>
      <c:catAx>
        <c:axId val="1142356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Arial Narrow" panose="020B0606020202030204" pitchFamily="34" charset="0"/>
              </a:defRPr>
            </a:pPr>
            <a:endParaRPr lang="pl-PL"/>
          </a:p>
        </c:txPr>
        <c:crossAx val="114237440"/>
        <c:crosses val="autoZero"/>
        <c:auto val="1"/>
        <c:lblAlgn val="ctr"/>
        <c:lblOffset val="100"/>
        <c:noMultiLvlLbl val="0"/>
      </c:catAx>
      <c:valAx>
        <c:axId val="114237440"/>
        <c:scaling>
          <c:orientation val="minMax"/>
        </c:scaling>
        <c:delete val="0"/>
        <c:axPos val="l"/>
        <c:majorGridlines/>
        <c:numFmt formatCode="0.000%" sourceLinked="1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Arial Narrow" panose="020B0606020202030204" pitchFamily="34" charset="0"/>
              </a:defRPr>
            </a:pPr>
            <a:endParaRPr lang="pl-PL"/>
          </a:p>
        </c:txPr>
        <c:crossAx val="11423564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  <c:userShapes r:id="rId2"/>
</c:chartSpace>
</file>

<file path=word/charts/chart2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00">
                <a:latin typeface="Arial Narrow" panose="020B0606020202030204" pitchFamily="34" charset="0"/>
              </a:defRPr>
            </a:pPr>
            <a:r>
              <a:rPr lang="pl-PL" sz="1100" b="1" i="0" baseline="0">
                <a:effectLst/>
                <a:latin typeface="Arial Narrow" panose="020B0606020202030204" pitchFamily="34" charset="0"/>
              </a:rPr>
              <a:t>Wykres 26. Odsetek skarg uwzględnionych w stosunku do liczby spraw załatwionych  </a:t>
            </a:r>
            <a:r>
              <a:rPr lang="pl-PL" sz="1100" b="1" i="0" baseline="30000">
                <a:effectLst/>
                <a:latin typeface="Arial Narrow" panose="020B0606020202030204" pitchFamily="34" charset="0"/>
              </a:rPr>
              <a:t>*)</a:t>
            </a:r>
            <a:r>
              <a:rPr lang="pl-PL" sz="1100" b="1" i="0" baseline="0">
                <a:effectLst/>
                <a:latin typeface="Arial Narrow" panose="020B0606020202030204" pitchFamily="34" charset="0"/>
              </a:rPr>
              <a:t> - sprawy cywilne - sądy rejonowe</a:t>
            </a:r>
            <a:endParaRPr lang="pl-PL" sz="1100">
              <a:effectLst/>
              <a:latin typeface="Arial Narrow" panose="020B0606020202030204" pitchFamily="34" charset="0"/>
            </a:endParaRP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0.12700064974609085"/>
          <c:y val="0.170490317411918"/>
          <c:w val="0.83399224716374798"/>
          <c:h val="0.64243096036685621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chemeClr val="accent4">
                <a:lumMod val="40000"/>
                <a:lumOff val="60000"/>
              </a:schemeClr>
            </a:solidFill>
          </c:spPr>
          <c:invertIfNegative val="0"/>
          <c:dLbls>
            <c:numFmt formatCode="0.000%" sourceLinked="0"/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sz="900" b="1"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'załatw vs. uwzgl'!$J$2:$N$2</c:f>
              <c:numCache>
                <c:formatCode>General</c:formatCode>
                <c:ptCount val="5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  <c:pt idx="4">
                  <c:v>2013</c:v>
                </c:pt>
              </c:numCache>
            </c:numRef>
          </c:cat>
          <c:val>
            <c:numRef>
              <c:f>('załatw vs. uwzgl'!$E$19;'załatw vs. uwzgl'!$H$19;'załatw vs. uwzgl'!$K$19;'załatw vs. uwzgl'!$N$19;'załatw vs. uwzgl'!$Q$19)</c:f>
              <c:numCache>
                <c:formatCode>0.000%</c:formatCode>
                <c:ptCount val="5"/>
                <c:pt idx="0">
                  <c:v>1.8449052915642819E-4</c:v>
                </c:pt>
                <c:pt idx="1">
                  <c:v>1.898947324363843E-4</c:v>
                </c:pt>
                <c:pt idx="2">
                  <c:v>2.0992023031248127E-4</c:v>
                </c:pt>
                <c:pt idx="3">
                  <c:v>1.7115298437767826E-4</c:v>
                </c:pt>
                <c:pt idx="4">
                  <c:v>1.9638574870536109E-4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4286976"/>
        <c:axId val="114288512"/>
      </c:barChart>
      <c:catAx>
        <c:axId val="1142869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Arial Narrow" panose="020B0606020202030204" pitchFamily="34" charset="0"/>
              </a:defRPr>
            </a:pPr>
            <a:endParaRPr lang="pl-PL"/>
          </a:p>
        </c:txPr>
        <c:crossAx val="114288512"/>
        <c:crosses val="autoZero"/>
        <c:auto val="1"/>
        <c:lblAlgn val="ctr"/>
        <c:lblOffset val="100"/>
        <c:noMultiLvlLbl val="0"/>
      </c:catAx>
      <c:valAx>
        <c:axId val="114288512"/>
        <c:scaling>
          <c:orientation val="minMax"/>
        </c:scaling>
        <c:delete val="0"/>
        <c:axPos val="l"/>
        <c:majorGridlines/>
        <c:numFmt formatCode="0.000%" sourceLinked="1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Arial Narrow" panose="020B0606020202030204" pitchFamily="34" charset="0"/>
              </a:defRPr>
            </a:pPr>
            <a:endParaRPr lang="pl-PL"/>
          </a:p>
        </c:txPr>
        <c:crossAx val="11428697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</cdr:x>
      <cdr:y>0.87736</cdr:y>
    </cdr:from>
    <cdr:to>
      <cdr:x>1</cdr:x>
      <cdr:y>1</cdr:y>
    </cdr:to>
    <cdr:sp macro="" textlink="">
      <cdr:nvSpPr>
        <cdr:cNvPr id="2" name="pole tekstowe 1"/>
        <cdr:cNvSpPr txBox="1"/>
      </cdr:nvSpPr>
      <cdr:spPr>
        <a:xfrm xmlns:a="http://schemas.openxmlformats.org/drawingml/2006/main">
          <a:off x="0" y="2657481"/>
          <a:ext cx="3443288" cy="37146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pl-PL" sz="1000" i="1" baseline="30000">
              <a:latin typeface="Arial Narrow" panose="020B0606020202030204" pitchFamily="34" charset="0"/>
            </a:rPr>
            <a:t>*) </a:t>
          </a:r>
          <a:r>
            <a:rPr lang="pl-PL" sz="1000" i="1">
              <a:latin typeface="Arial Narrow" panose="020B0606020202030204" pitchFamily="34" charset="0"/>
            </a:rPr>
            <a:t>sprawy z rep. K, Kp, W załatwione w pierwszej instancji w sądach okręgowych i rejonowych </a:t>
          </a: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</cdr:x>
      <cdr:y>0.87736</cdr:y>
    </cdr:from>
    <cdr:to>
      <cdr:x>1</cdr:x>
      <cdr:y>1</cdr:y>
    </cdr:to>
    <cdr:sp macro="" textlink="">
      <cdr:nvSpPr>
        <cdr:cNvPr id="2" name="pole tekstowe 1"/>
        <cdr:cNvSpPr txBox="1"/>
      </cdr:nvSpPr>
      <cdr:spPr>
        <a:xfrm xmlns:a="http://schemas.openxmlformats.org/drawingml/2006/main">
          <a:off x="0" y="2657481"/>
          <a:ext cx="3443288" cy="37146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pl-PL" sz="1000" i="1" baseline="30000">
              <a:latin typeface="Arial Narrow" panose="020B0606020202030204" pitchFamily="34" charset="0"/>
            </a:rPr>
            <a:t>*) </a:t>
          </a:r>
          <a:r>
            <a:rPr lang="pl-PL" sz="1000" i="1">
              <a:latin typeface="Arial Narrow" panose="020B0606020202030204" pitchFamily="34" charset="0"/>
            </a:rPr>
            <a:t>sprawy z rep. K</a:t>
          </a:r>
          <a:r>
            <a:rPr lang="pl-PL" sz="1000" i="1" baseline="0">
              <a:latin typeface="Arial Narrow" panose="020B0606020202030204" pitchFamily="34" charset="0"/>
            </a:rPr>
            <a:t> </a:t>
          </a:r>
          <a:r>
            <a:rPr lang="pl-PL" sz="1000" i="1">
              <a:latin typeface="Arial Narrow" panose="020B0606020202030204" pitchFamily="34" charset="0"/>
            </a:rPr>
            <a:t>załatwione w pierwszej instancji w sądach okręgowych </a:t>
          </a:r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</cdr:x>
      <cdr:y>0.86581</cdr:y>
    </cdr:from>
    <cdr:to>
      <cdr:x>1</cdr:x>
      <cdr:y>0.97035</cdr:y>
    </cdr:to>
    <cdr:sp macro="" textlink="">
      <cdr:nvSpPr>
        <cdr:cNvPr id="2" name="pole tekstowe 1"/>
        <cdr:cNvSpPr txBox="1"/>
      </cdr:nvSpPr>
      <cdr:spPr>
        <a:xfrm xmlns:a="http://schemas.openxmlformats.org/drawingml/2006/main">
          <a:off x="0" y="2581274"/>
          <a:ext cx="3433762" cy="31165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pl-PL" sz="1000" i="1" baseline="30000">
              <a:latin typeface="Arial Narrow" panose="020B0606020202030204" pitchFamily="34" charset="0"/>
            </a:rPr>
            <a:t>*) </a:t>
          </a:r>
          <a:r>
            <a:rPr lang="pl-PL" sz="1000" i="1">
              <a:latin typeface="Arial Narrow" panose="020B0606020202030204" pitchFamily="34" charset="0"/>
            </a:rPr>
            <a:t>sprawy z rep. K, Kp, W załatwione w pierwszej instancji w sądach rejonowych</a:t>
          </a:r>
        </a:p>
      </cdr:txBody>
    </cdr:sp>
  </cdr:relSizeAnchor>
</c:userShapes>
</file>

<file path=word/drawings/drawing4.xml><?xml version="1.0" encoding="utf-8"?>
<c:userShapes xmlns:c="http://schemas.openxmlformats.org/drawingml/2006/chart">
  <cdr:relSizeAnchor xmlns:cdr="http://schemas.openxmlformats.org/drawingml/2006/chartDrawing">
    <cdr:from>
      <cdr:x>0.00542</cdr:x>
      <cdr:y>0.88037</cdr:y>
    </cdr:from>
    <cdr:to>
      <cdr:x>1</cdr:x>
      <cdr:y>1</cdr:y>
    </cdr:to>
    <cdr:sp macro="" textlink="">
      <cdr:nvSpPr>
        <cdr:cNvPr id="3" name="pole tekstowe 2"/>
        <cdr:cNvSpPr txBox="1"/>
      </cdr:nvSpPr>
      <cdr:spPr>
        <a:xfrm xmlns:a="http://schemas.openxmlformats.org/drawingml/2006/main">
          <a:off x="32111" y="3597390"/>
          <a:ext cx="5892439" cy="48883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pl-PL" sz="1000" i="1" baseline="30000">
              <a:latin typeface="Arial Narrow" panose="020B0606020202030204" pitchFamily="34" charset="0"/>
            </a:rPr>
            <a:t>*) </a:t>
          </a:r>
          <a:r>
            <a:rPr lang="pl-PL" sz="1000" i="1">
              <a:latin typeface="Arial Narrow" panose="020B0606020202030204" pitchFamily="34" charset="0"/>
            </a:rPr>
            <a:t>sprawy z rep. C, CG-G, Ns, Nc, Co załatwione w pierwszej instancji w sądach okręgowych i rejonowych </a:t>
          </a:r>
        </a:p>
      </cdr:txBody>
    </cdr:sp>
  </cdr:relSizeAnchor>
</c:userShapes>
</file>

<file path=word/drawings/drawing5.xml><?xml version="1.0" encoding="utf-8"?>
<c:userShapes xmlns:c="http://schemas.openxmlformats.org/drawingml/2006/chart">
  <cdr:relSizeAnchor xmlns:cdr="http://schemas.openxmlformats.org/drawingml/2006/chartDrawing">
    <cdr:from>
      <cdr:x>0</cdr:x>
      <cdr:y>0.8714</cdr:y>
    </cdr:from>
    <cdr:to>
      <cdr:x>1</cdr:x>
      <cdr:y>0.99177</cdr:y>
    </cdr:to>
    <cdr:sp macro="" textlink="">
      <cdr:nvSpPr>
        <cdr:cNvPr id="2" name="pole tekstowe 1"/>
        <cdr:cNvSpPr txBox="1"/>
      </cdr:nvSpPr>
      <cdr:spPr>
        <a:xfrm xmlns:a="http://schemas.openxmlformats.org/drawingml/2006/main">
          <a:off x="0" y="2689225"/>
          <a:ext cx="3409950" cy="37147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pl-PL" sz="1000" i="1" baseline="30000">
              <a:latin typeface="Arial Narrow" panose="020B0606020202030204" pitchFamily="34" charset="0"/>
            </a:rPr>
            <a:t>*) </a:t>
          </a:r>
          <a:r>
            <a:rPr lang="pl-PL" sz="1000" i="1">
              <a:latin typeface="Arial Narrow" panose="020B0606020202030204" pitchFamily="34" charset="0"/>
            </a:rPr>
            <a:t>sprawy z rep. C, CG-G, Ns, Nc, Co załatwione w pierwszej instancji w sądach okręgowych </a:t>
          </a:r>
        </a:p>
      </cdr:txBody>
    </cdr:sp>
  </cdr:relSizeAnchor>
</c:userShapes>
</file>

<file path=word/drawings/drawing6.xml><?xml version="1.0" encoding="utf-8"?>
<c:userShapes xmlns:c="http://schemas.openxmlformats.org/drawingml/2006/chart">
  <cdr:relSizeAnchor xmlns:cdr="http://schemas.openxmlformats.org/drawingml/2006/chartDrawing">
    <cdr:from>
      <cdr:x>0.02748</cdr:x>
      <cdr:y>0.87736</cdr:y>
    </cdr:from>
    <cdr:to>
      <cdr:x>0.97961</cdr:x>
      <cdr:y>1</cdr:y>
    </cdr:to>
    <cdr:sp macro="" textlink="">
      <cdr:nvSpPr>
        <cdr:cNvPr id="2" name="pole tekstowe 1"/>
        <cdr:cNvSpPr txBox="1"/>
      </cdr:nvSpPr>
      <cdr:spPr>
        <a:xfrm xmlns:a="http://schemas.openxmlformats.org/drawingml/2006/main">
          <a:off x="98425" y="2657476"/>
          <a:ext cx="3409950" cy="37147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pl-PL" sz="1000" i="1" baseline="30000">
              <a:latin typeface="Arial Narrow" panose="020B0606020202030204" pitchFamily="34" charset="0"/>
            </a:rPr>
            <a:t>*) </a:t>
          </a:r>
          <a:r>
            <a:rPr lang="pl-PL" sz="1000" i="1">
              <a:latin typeface="Arial Narrow" panose="020B0606020202030204" pitchFamily="34" charset="0"/>
            </a:rPr>
            <a:t>sprawy z rep. C, CG-G, Ns, Nc</a:t>
          </a:r>
          <a:r>
            <a:rPr lang="pl-PL" sz="1000" i="1" baseline="0">
              <a:latin typeface="Arial Narrow" panose="020B0606020202030204" pitchFamily="34" charset="0"/>
            </a:rPr>
            <a:t> </a:t>
          </a:r>
          <a:r>
            <a:rPr lang="pl-PL" sz="1000" i="1">
              <a:latin typeface="Arial Narrow" panose="020B0606020202030204" pitchFamily="34" charset="0"/>
            </a:rPr>
            <a:t>załatwione w pierwszej instancji w sądach rejonowych</a:t>
          </a:r>
        </a:p>
      </cdr:txBody>
    </cdr:sp>
  </cdr:relSizeAnchor>
</c:userShape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DDAB9-FA13-4EF0-877A-71F05B22C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976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Bieługa Robert</dc:creator>
  <cp:lastModifiedBy>Bieługa Robert</cp:lastModifiedBy>
  <cp:revision>2</cp:revision>
  <cp:lastPrinted>2014-09-19T13:35:00Z</cp:lastPrinted>
  <dcterms:created xsi:type="dcterms:W3CDTF">2014-09-19T13:49:00Z</dcterms:created>
  <dcterms:modified xsi:type="dcterms:W3CDTF">2014-09-19T13:49:00Z</dcterms:modified>
</cp:coreProperties>
</file>