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51" w:type="dxa"/>
        <w:tblLayout w:type="fixed"/>
        <w:tblCellMar>
          <w:left w:w="0" w:type="dxa"/>
          <w:right w:w="0" w:type="dxa"/>
        </w:tblCellMar>
        <w:tblLook w:val="0000" w:firstRow="0" w:lastRow="0" w:firstColumn="0" w:lastColumn="0" w:noHBand="0" w:noVBand="0"/>
      </w:tblPr>
      <w:tblGrid>
        <w:gridCol w:w="851"/>
        <w:gridCol w:w="3970"/>
        <w:gridCol w:w="1701"/>
        <w:gridCol w:w="3969"/>
        <w:gridCol w:w="850"/>
      </w:tblGrid>
      <w:tr w:rsidR="001A28E4" w:rsidTr="00860C48">
        <w:tblPrEx>
          <w:tblCellMar>
            <w:top w:w="0" w:type="dxa"/>
            <w:left w:w="0" w:type="dxa"/>
            <w:bottom w:w="0" w:type="dxa"/>
            <w:right w:w="0" w:type="dxa"/>
          </w:tblCellMar>
        </w:tblPrEx>
        <w:trPr>
          <w:gridBefore w:val="1"/>
          <w:gridAfter w:val="1"/>
          <w:wBefore w:w="851" w:type="dxa"/>
          <w:wAfter w:w="851" w:type="dxa"/>
          <w:cantSplit/>
          <w:trHeight w:val="240"/>
        </w:trPr>
        <w:tc>
          <w:tcPr>
            <w:tcW w:w="9639" w:type="dxa"/>
            <w:gridSpan w:val="3"/>
          </w:tcPr>
          <w:p w:rsidR="001A28E4" w:rsidRDefault="001A28E4" w:rsidP="00860C48">
            <w:pPr>
              <w:pStyle w:val="EntLogo"/>
            </w:pPr>
            <w:r>
              <w:rPr>
                <w:noProof/>
                <w:lang w:val="pl-PL" w:eastAsia="pl-PL"/>
              </w:rPr>
              <w:drawing>
                <wp:anchor distT="0" distB="0" distL="114300" distR="114300" simplePos="0" relativeHeight="251659264" behindDoc="0" locked="1" layoutInCell="0" allowOverlap="1">
                  <wp:simplePos x="0" y="0"/>
                  <wp:positionH relativeFrom="column">
                    <wp:align>center</wp:align>
                  </wp:positionH>
                  <wp:positionV relativeFrom="page">
                    <wp:posOffset>467995</wp:posOffset>
                  </wp:positionV>
                  <wp:extent cx="1076325" cy="723900"/>
                  <wp:effectExtent l="0" t="0" r="9525" b="0"/>
                  <wp:wrapTopAndBottom/>
                  <wp:docPr id="1" name="Obraz 1" descr="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A28E4" w:rsidTr="00860C48">
        <w:tblPrEx>
          <w:tblCellMar>
            <w:top w:w="0" w:type="dxa"/>
            <w:left w:w="0" w:type="dxa"/>
            <w:bottom w:w="0" w:type="dxa"/>
            <w:right w:w="0" w:type="dxa"/>
          </w:tblCellMar>
        </w:tblPrEx>
        <w:trPr>
          <w:cantSplit/>
          <w:trHeight w:val="1120"/>
        </w:trPr>
        <w:tc>
          <w:tcPr>
            <w:tcW w:w="4820" w:type="dxa"/>
            <w:gridSpan w:val="2"/>
          </w:tcPr>
          <w:p w:rsidR="001A28E4" w:rsidRDefault="001A28E4" w:rsidP="00860C48">
            <w:pPr>
              <w:pStyle w:val="EntInstit"/>
            </w:pPr>
            <w:bookmarkStart w:id="0" w:name="Entete"/>
            <w:bookmarkEnd w:id="0"/>
            <w:r>
              <w:t>COUNCIL OF</w:t>
            </w:r>
          </w:p>
          <w:p w:rsidR="001A28E4" w:rsidRDefault="001A28E4" w:rsidP="00860C48">
            <w:pPr>
              <w:pStyle w:val="EntInstit"/>
            </w:pPr>
            <w:r>
              <w:t>THE EUROPEAN UNION</w:t>
            </w:r>
          </w:p>
        </w:tc>
        <w:tc>
          <w:tcPr>
            <w:tcW w:w="1701" w:type="dxa"/>
          </w:tcPr>
          <w:p w:rsidR="001A28E4" w:rsidRDefault="001A28E4" w:rsidP="00860C48">
            <w:pPr>
              <w:spacing w:line="240" w:lineRule="auto"/>
              <w:jc w:val="right"/>
              <w:rPr>
                <w:b/>
              </w:rPr>
            </w:pPr>
          </w:p>
        </w:tc>
        <w:tc>
          <w:tcPr>
            <w:tcW w:w="4820" w:type="dxa"/>
            <w:gridSpan w:val="2"/>
          </w:tcPr>
          <w:p w:rsidR="001A28E4" w:rsidRDefault="001A28E4" w:rsidP="00860C48">
            <w:pPr>
              <w:pStyle w:val="EntRefer"/>
            </w:pPr>
            <w:bookmarkStart w:id="1" w:name="Lieu"/>
            <w:bookmarkEnd w:id="1"/>
            <w:r>
              <w:t xml:space="preserve">Brussels, </w:t>
            </w:r>
            <w:bookmarkStart w:id="2" w:name="Date"/>
            <w:bookmarkEnd w:id="2"/>
            <w:r>
              <w:t>29 January 2014</w:t>
            </w:r>
          </w:p>
          <w:p w:rsidR="001A28E4" w:rsidRDefault="001A28E4" w:rsidP="00860C48">
            <w:pPr>
              <w:pStyle w:val="EntRefer"/>
            </w:pPr>
            <w:bookmarkStart w:id="3" w:name="LangueOrig"/>
            <w:bookmarkEnd w:id="3"/>
          </w:p>
        </w:tc>
      </w:tr>
      <w:tr w:rsidR="001A28E4" w:rsidTr="00860C48">
        <w:tblPrEx>
          <w:tblCellMar>
            <w:top w:w="0" w:type="dxa"/>
            <w:left w:w="0" w:type="dxa"/>
            <w:bottom w:w="0" w:type="dxa"/>
            <w:right w:w="0" w:type="dxa"/>
          </w:tblCellMar>
        </w:tblPrEx>
        <w:trPr>
          <w:gridBefore w:val="1"/>
          <w:gridAfter w:val="1"/>
          <w:wBefore w:w="851" w:type="dxa"/>
          <w:wAfter w:w="850" w:type="dxa"/>
          <w:cantSplit/>
          <w:trHeight w:val="1480"/>
        </w:trPr>
        <w:tc>
          <w:tcPr>
            <w:tcW w:w="3970" w:type="dxa"/>
            <w:vAlign w:val="center"/>
          </w:tcPr>
          <w:p w:rsidR="001A28E4" w:rsidRDefault="001A28E4" w:rsidP="00860C48">
            <w:pPr>
              <w:pStyle w:val="EntRefer"/>
              <w:jc w:val="center"/>
            </w:pPr>
            <w:bookmarkStart w:id="4" w:name="DossierInterInst"/>
            <w:bookmarkEnd w:id="4"/>
          </w:p>
        </w:tc>
        <w:tc>
          <w:tcPr>
            <w:tcW w:w="1701" w:type="dxa"/>
            <w:vAlign w:val="center"/>
          </w:tcPr>
          <w:p w:rsidR="001A28E4" w:rsidRDefault="001A28E4" w:rsidP="00860C48">
            <w:pPr>
              <w:spacing w:line="240" w:lineRule="auto"/>
              <w:rPr>
                <w:b/>
              </w:rPr>
            </w:pPr>
          </w:p>
        </w:tc>
        <w:tc>
          <w:tcPr>
            <w:tcW w:w="3969" w:type="dxa"/>
          </w:tcPr>
          <w:p w:rsidR="001A28E4" w:rsidRDefault="001A28E4" w:rsidP="00860C48">
            <w:pPr>
              <w:pStyle w:val="EntRefer"/>
            </w:pPr>
            <w:bookmarkStart w:id="5" w:name="Cote"/>
            <w:bookmarkEnd w:id="5"/>
            <w:r>
              <w:t>5783/1</w:t>
            </w:r>
            <w:bookmarkStart w:id="6" w:name="CoteRev"/>
            <w:bookmarkStart w:id="7" w:name="CoteSec"/>
            <w:bookmarkEnd w:id="6"/>
            <w:bookmarkEnd w:id="7"/>
            <w:r>
              <w:t>4</w:t>
            </w:r>
          </w:p>
        </w:tc>
      </w:tr>
      <w:tr w:rsidR="001A28E4" w:rsidTr="00860C48">
        <w:tblPrEx>
          <w:tblCellMar>
            <w:top w:w="0" w:type="dxa"/>
            <w:left w:w="0" w:type="dxa"/>
            <w:bottom w:w="0" w:type="dxa"/>
            <w:right w:w="0" w:type="dxa"/>
          </w:tblCellMar>
        </w:tblPrEx>
        <w:trPr>
          <w:gridBefore w:val="1"/>
          <w:gridAfter w:val="1"/>
          <w:wBefore w:w="851" w:type="dxa"/>
          <w:wAfter w:w="850" w:type="dxa"/>
          <w:cantSplit/>
          <w:trHeight w:val="1000"/>
        </w:trPr>
        <w:tc>
          <w:tcPr>
            <w:tcW w:w="3970" w:type="dxa"/>
            <w:vAlign w:val="center"/>
          </w:tcPr>
          <w:p w:rsidR="001A28E4" w:rsidRDefault="001A28E4" w:rsidP="00860C48">
            <w:pPr>
              <w:pStyle w:val="EntRefer"/>
              <w:jc w:val="center"/>
            </w:pPr>
            <w:bookmarkStart w:id="8" w:name="SousEmbargo"/>
            <w:bookmarkEnd w:id="8"/>
          </w:p>
        </w:tc>
        <w:tc>
          <w:tcPr>
            <w:tcW w:w="1701" w:type="dxa"/>
            <w:vAlign w:val="center"/>
          </w:tcPr>
          <w:p w:rsidR="001A28E4" w:rsidRDefault="001A28E4" w:rsidP="00860C48">
            <w:pPr>
              <w:spacing w:line="240" w:lineRule="auto"/>
              <w:rPr>
                <w:b/>
              </w:rPr>
            </w:pPr>
          </w:p>
        </w:tc>
        <w:tc>
          <w:tcPr>
            <w:tcW w:w="3969" w:type="dxa"/>
          </w:tcPr>
          <w:p w:rsidR="001A28E4" w:rsidRDefault="001A28E4" w:rsidP="00860C48">
            <w:pPr>
              <w:pStyle w:val="EntRefer"/>
            </w:pPr>
            <w:r>
              <w:t>COPEN 28</w:t>
            </w:r>
          </w:p>
          <w:p w:rsidR="001A28E4" w:rsidRDefault="001A28E4" w:rsidP="00860C48">
            <w:pPr>
              <w:pStyle w:val="EntRefer"/>
            </w:pPr>
            <w:r>
              <w:t>EJN 20</w:t>
            </w:r>
          </w:p>
          <w:p w:rsidR="001A28E4" w:rsidRDefault="001A28E4" w:rsidP="00860C48">
            <w:pPr>
              <w:pStyle w:val="EntRefer"/>
            </w:pPr>
            <w:r>
              <w:t>EUROJUST 23</w:t>
            </w:r>
          </w:p>
          <w:p w:rsidR="001A28E4" w:rsidRDefault="001A28E4" w:rsidP="00860C48">
            <w:pPr>
              <w:pStyle w:val="EntRefer"/>
            </w:pPr>
          </w:p>
        </w:tc>
      </w:tr>
    </w:tbl>
    <w:p w:rsidR="001A28E4" w:rsidRDefault="001A28E4" w:rsidP="001A28E4">
      <w:pPr>
        <w:pStyle w:val="EntRefer"/>
      </w:pPr>
      <w:bookmarkStart w:id="9" w:name="AC"/>
    </w:p>
    <w:p w:rsidR="001A28E4" w:rsidRDefault="001A28E4" w:rsidP="001A28E4">
      <w:pPr>
        <w:pStyle w:val="EntRefer"/>
        <w:outlineLvl w:val="0"/>
      </w:pPr>
      <w:bookmarkStart w:id="10" w:name="Title"/>
      <w:bookmarkEnd w:id="10"/>
      <w:r>
        <w:t>NOTE</w:t>
      </w:r>
    </w:p>
    <w:tbl>
      <w:tblPr>
        <w:tblW w:w="9641" w:type="dxa"/>
        <w:tblLayout w:type="fixed"/>
        <w:tblCellMar>
          <w:left w:w="0" w:type="dxa"/>
          <w:right w:w="0" w:type="dxa"/>
        </w:tblCellMar>
        <w:tblLook w:val="0000" w:firstRow="0" w:lastRow="0" w:firstColumn="0" w:lastColumn="0" w:noHBand="0" w:noVBand="0"/>
      </w:tblPr>
      <w:tblGrid>
        <w:gridCol w:w="1701"/>
        <w:gridCol w:w="7940"/>
      </w:tblGrid>
      <w:tr w:rsidR="001A28E4" w:rsidRPr="00A85C65" w:rsidTr="00860C48">
        <w:tblPrEx>
          <w:tblCellMar>
            <w:top w:w="0" w:type="dxa"/>
            <w:left w:w="0" w:type="dxa"/>
            <w:bottom w:w="0" w:type="dxa"/>
            <w:right w:w="0" w:type="dxa"/>
          </w:tblCellMar>
        </w:tblPrEx>
        <w:tc>
          <w:tcPr>
            <w:tcW w:w="1701" w:type="dxa"/>
            <w:tcBorders>
              <w:top w:val="single" w:sz="4" w:space="0" w:color="auto"/>
              <w:bottom w:val="single" w:sz="4" w:space="0" w:color="auto"/>
            </w:tcBorders>
          </w:tcPr>
          <w:p w:rsidR="001A28E4" w:rsidRPr="00FC3F94" w:rsidRDefault="001A28E4" w:rsidP="00860C48">
            <w:pPr>
              <w:pStyle w:val="EntEmet"/>
              <w:spacing w:before="0"/>
            </w:pPr>
            <w:bookmarkStart w:id="11" w:name="RefDu"/>
            <w:r w:rsidRPr="00FC3F94">
              <w:t>from:</w:t>
            </w:r>
            <w:bookmarkEnd w:id="11"/>
          </w:p>
        </w:tc>
        <w:tc>
          <w:tcPr>
            <w:tcW w:w="7940" w:type="dxa"/>
            <w:tcBorders>
              <w:top w:val="single" w:sz="4" w:space="0" w:color="auto"/>
              <w:bottom w:val="single" w:sz="4" w:space="0" w:color="auto"/>
            </w:tcBorders>
          </w:tcPr>
          <w:p w:rsidR="001A28E4" w:rsidRPr="00A85C65" w:rsidRDefault="001A28E4" w:rsidP="00860C48">
            <w:pPr>
              <w:pStyle w:val="EntEmet"/>
              <w:spacing w:before="0"/>
            </w:pPr>
            <w:r>
              <w:t xml:space="preserve">Martin </w:t>
            </w:r>
            <w:proofErr w:type="spellStart"/>
            <w:r>
              <w:t>Povejšil</w:t>
            </w:r>
            <w:proofErr w:type="spellEnd"/>
            <w:r>
              <w:t>, Ambassador, Permanent Representative, Permanent Representation of the Czech Republic to the European Union</w:t>
            </w:r>
          </w:p>
        </w:tc>
      </w:tr>
      <w:tr w:rsidR="001A28E4" w:rsidRPr="00FC3F94" w:rsidTr="00860C48">
        <w:tblPrEx>
          <w:tblCellMar>
            <w:top w:w="0" w:type="dxa"/>
            <w:left w:w="0" w:type="dxa"/>
            <w:bottom w:w="0" w:type="dxa"/>
            <w:right w:w="0" w:type="dxa"/>
          </w:tblCellMar>
        </w:tblPrEx>
        <w:tc>
          <w:tcPr>
            <w:tcW w:w="1701" w:type="dxa"/>
            <w:tcBorders>
              <w:top w:val="single" w:sz="4" w:space="0" w:color="auto"/>
              <w:bottom w:val="single" w:sz="4" w:space="0" w:color="auto"/>
            </w:tcBorders>
          </w:tcPr>
          <w:p w:rsidR="001A28E4" w:rsidRPr="00FC3F94" w:rsidRDefault="001A28E4" w:rsidP="00860C48">
            <w:pPr>
              <w:pStyle w:val="EntEmet"/>
            </w:pPr>
            <w:bookmarkStart w:id="12" w:name="RefA"/>
            <w:r w:rsidRPr="00FC3F94">
              <w:t>to:</w:t>
            </w:r>
            <w:bookmarkEnd w:id="12"/>
          </w:p>
        </w:tc>
        <w:tc>
          <w:tcPr>
            <w:tcW w:w="7940" w:type="dxa"/>
            <w:tcBorders>
              <w:top w:val="single" w:sz="4" w:space="0" w:color="auto"/>
              <w:bottom w:val="single" w:sz="4" w:space="0" w:color="auto"/>
            </w:tcBorders>
          </w:tcPr>
          <w:p w:rsidR="001A28E4" w:rsidRPr="00FC3F94" w:rsidRDefault="001A28E4" w:rsidP="00860C48">
            <w:pPr>
              <w:pStyle w:val="EntEmet"/>
            </w:pPr>
            <w:r w:rsidRPr="001F55BE">
              <w:rPr>
                <w:szCs w:val="24"/>
              </w:rPr>
              <w:t xml:space="preserve">Rafael </w:t>
            </w:r>
            <w:proofErr w:type="spellStart"/>
            <w:r w:rsidRPr="001F55BE">
              <w:rPr>
                <w:szCs w:val="24"/>
              </w:rPr>
              <w:t>Fernández</w:t>
            </w:r>
            <w:proofErr w:type="spellEnd"/>
            <w:r w:rsidRPr="001F55BE">
              <w:rPr>
                <w:szCs w:val="24"/>
              </w:rPr>
              <w:t>-Pita y González</w:t>
            </w:r>
            <w:r>
              <w:t>, Director-General, Council of the European Union</w:t>
            </w:r>
          </w:p>
        </w:tc>
      </w:tr>
      <w:tr w:rsidR="001A28E4" w:rsidTr="00860C48">
        <w:tblPrEx>
          <w:tblCellMar>
            <w:top w:w="0" w:type="dxa"/>
            <w:left w:w="0" w:type="dxa"/>
            <w:bottom w:w="0" w:type="dxa"/>
            <w:right w:w="0" w:type="dxa"/>
          </w:tblCellMar>
        </w:tblPrEx>
        <w:tc>
          <w:tcPr>
            <w:tcW w:w="1701" w:type="dxa"/>
            <w:tcBorders>
              <w:top w:val="single" w:sz="4" w:space="0" w:color="auto"/>
              <w:bottom w:val="single" w:sz="4" w:space="0" w:color="auto"/>
            </w:tcBorders>
          </w:tcPr>
          <w:p w:rsidR="001A28E4" w:rsidRDefault="001A28E4" w:rsidP="00860C48">
            <w:pPr>
              <w:pStyle w:val="EntEmet"/>
            </w:pPr>
            <w:bookmarkStart w:id="13" w:name="Ref"/>
            <w:bookmarkStart w:id="14" w:name="RefRow_A"/>
            <w:r>
              <w:t>date of receipt:</w:t>
            </w:r>
          </w:p>
        </w:tc>
        <w:tc>
          <w:tcPr>
            <w:tcW w:w="7940" w:type="dxa"/>
            <w:tcBorders>
              <w:top w:val="single" w:sz="4" w:space="0" w:color="auto"/>
              <w:bottom w:val="single" w:sz="4" w:space="0" w:color="auto"/>
            </w:tcBorders>
          </w:tcPr>
          <w:p w:rsidR="001A28E4" w:rsidRDefault="001A28E4" w:rsidP="00860C48">
            <w:pPr>
              <w:pStyle w:val="EntEmet"/>
            </w:pPr>
            <w:r>
              <w:t>17 December 2013</w:t>
            </w:r>
          </w:p>
        </w:tc>
      </w:tr>
      <w:tr w:rsidR="001A28E4" w:rsidTr="00860C48">
        <w:tblPrEx>
          <w:tblCellMar>
            <w:top w:w="0" w:type="dxa"/>
            <w:left w:w="0" w:type="dxa"/>
            <w:bottom w:w="0" w:type="dxa"/>
            <w:right w:w="0" w:type="dxa"/>
          </w:tblCellMar>
        </w:tblPrEx>
        <w:trPr>
          <w:trHeight w:val="70"/>
        </w:trPr>
        <w:tc>
          <w:tcPr>
            <w:tcW w:w="1701" w:type="dxa"/>
            <w:tcBorders>
              <w:bottom w:val="single" w:sz="4" w:space="0" w:color="auto"/>
            </w:tcBorders>
          </w:tcPr>
          <w:p w:rsidR="001A28E4" w:rsidRPr="00BB6A87" w:rsidRDefault="001A28E4" w:rsidP="00860C48">
            <w:pPr>
              <w:pStyle w:val="EntEmet"/>
              <w:spacing w:line="360" w:lineRule="auto"/>
            </w:pPr>
            <w:r>
              <w:t>Subject</w:t>
            </w:r>
            <w:r w:rsidRPr="00BB6A87">
              <w:t>:</w:t>
            </w:r>
          </w:p>
        </w:tc>
        <w:tc>
          <w:tcPr>
            <w:tcW w:w="7940" w:type="dxa"/>
            <w:tcBorders>
              <w:bottom w:val="single" w:sz="4" w:space="0" w:color="auto"/>
            </w:tcBorders>
          </w:tcPr>
          <w:p w:rsidR="001A28E4" w:rsidRDefault="001A28E4" w:rsidP="00860C48">
            <w:pPr>
              <w:pStyle w:val="EntEmet"/>
            </w:pPr>
            <w:r>
              <w:t>Implementation of the Council Framework Decision 2002/584/JHA on the European Arrest Warrant and the surrender procedures between Member States</w:t>
            </w:r>
          </w:p>
          <w:p w:rsidR="001A28E4" w:rsidRPr="00C908A4" w:rsidRDefault="001A28E4" w:rsidP="00860C48">
            <w:pPr>
              <w:pStyle w:val="EntEmet"/>
              <w:ind w:left="284"/>
            </w:pPr>
            <w:r>
              <w:t>-</w:t>
            </w:r>
            <w:r>
              <w:tab/>
              <w:t>Notification by the Czech Republic</w:t>
            </w:r>
          </w:p>
        </w:tc>
      </w:tr>
      <w:bookmarkEnd w:id="13"/>
      <w:bookmarkEnd w:id="14"/>
    </w:tbl>
    <w:p w:rsidR="001A28E4" w:rsidRDefault="001A28E4" w:rsidP="001A28E4">
      <w:pPr>
        <w:spacing w:line="240" w:lineRule="auto"/>
      </w:pPr>
    </w:p>
    <w:bookmarkEnd w:id="9"/>
    <w:p w:rsidR="001A28E4" w:rsidRDefault="001A28E4" w:rsidP="001A28E4"/>
    <w:p w:rsidR="001A28E4" w:rsidRDefault="001A28E4" w:rsidP="001A28E4">
      <w:r>
        <w:t>Dear Mr Director-General,</w:t>
      </w:r>
    </w:p>
    <w:p w:rsidR="001A28E4" w:rsidRDefault="001A28E4" w:rsidP="001A28E4"/>
    <w:p w:rsidR="001A28E4" w:rsidRPr="00A54E74" w:rsidRDefault="001A28E4" w:rsidP="001A28E4">
      <w:pPr>
        <w:rPr>
          <w:szCs w:val="24"/>
        </w:rPr>
      </w:pPr>
      <w:r w:rsidRPr="00A54E74">
        <w:rPr>
          <w:rStyle w:val="CharStyle22"/>
          <w:color w:val="000000"/>
          <w:szCs w:val="24"/>
        </w:rPr>
        <w:t>In accordance with Article 34(2) of Council Framework Decision 2002/584/JHA of 13 June 2002 on the European arrest warrant and the surrender procedures between Member States (Official Journal of the EU, L 190, 18 July 2002), I would inform you that the Czech Republic has implemented the above Framework Decision in its national law.</w:t>
      </w:r>
    </w:p>
    <w:p w:rsidR="001A28E4" w:rsidRPr="00A54E74" w:rsidRDefault="001A28E4" w:rsidP="001A28E4">
      <w:pPr>
        <w:rPr>
          <w:rStyle w:val="CharStyle22"/>
          <w:szCs w:val="24"/>
        </w:rPr>
      </w:pPr>
    </w:p>
    <w:p w:rsidR="001A28E4" w:rsidRPr="00A54E74" w:rsidRDefault="001A28E4" w:rsidP="001A28E4">
      <w:pPr>
        <w:rPr>
          <w:szCs w:val="24"/>
        </w:rPr>
      </w:pPr>
      <w:r w:rsidRPr="00A54E74">
        <w:rPr>
          <w:rStyle w:val="CharStyle22"/>
          <w:color w:val="000000"/>
          <w:szCs w:val="24"/>
        </w:rPr>
        <w:t>The provisions of the Framework Decision have been transposed by Act No 104/2013 on international judicial cooperation in criminal matters, which entered into force on 1 January 2014.</w:t>
      </w:r>
    </w:p>
    <w:p w:rsidR="001A28E4" w:rsidRPr="00A54E74" w:rsidRDefault="001A28E4" w:rsidP="001A28E4">
      <w:pPr>
        <w:rPr>
          <w:rStyle w:val="CharStyle22"/>
          <w:szCs w:val="24"/>
        </w:rPr>
      </w:pPr>
    </w:p>
    <w:p w:rsidR="001A28E4" w:rsidRPr="00A54E74" w:rsidRDefault="001A28E4" w:rsidP="001A28E4">
      <w:pPr>
        <w:rPr>
          <w:szCs w:val="24"/>
        </w:rPr>
      </w:pPr>
      <w:r>
        <w:rPr>
          <w:rStyle w:val="CharStyle22"/>
          <w:color w:val="000000"/>
          <w:szCs w:val="24"/>
        </w:rPr>
        <w:br w:type="page"/>
      </w:r>
      <w:r w:rsidRPr="00A54E74">
        <w:rPr>
          <w:rStyle w:val="CharStyle22"/>
          <w:color w:val="000000"/>
          <w:szCs w:val="24"/>
        </w:rPr>
        <w:lastRenderedPageBreak/>
        <w:t>In connection with the abovementioned notification I enclose:</w:t>
      </w:r>
    </w:p>
    <w:p w:rsidR="001A28E4" w:rsidRPr="00A54E74" w:rsidRDefault="001A28E4" w:rsidP="001A28E4">
      <w:pPr>
        <w:pStyle w:val="Akapitzlist"/>
        <w:numPr>
          <w:ilvl w:val="0"/>
          <w:numId w:val="1"/>
        </w:numPr>
        <w:spacing w:line="360" w:lineRule="auto"/>
        <w:ind w:left="567" w:hanging="207"/>
        <w:rPr>
          <w:rStyle w:val="CharStyle22"/>
        </w:rPr>
      </w:pPr>
      <w:r w:rsidRPr="00A54E74">
        <w:rPr>
          <w:rStyle w:val="CharStyle22"/>
        </w:rPr>
        <w:t xml:space="preserve">the text of the Czech Republic's notification (notification pursuant to Article 7(1), notification pursuant to Article 25(2) and notification pursuant to Article 31 of the above Framework Decision (Annex No 1); </w:t>
      </w:r>
    </w:p>
    <w:p w:rsidR="001A28E4" w:rsidRPr="00A54E74" w:rsidRDefault="001A28E4" w:rsidP="001A28E4">
      <w:pPr>
        <w:pStyle w:val="Akapitzlist"/>
        <w:numPr>
          <w:ilvl w:val="0"/>
          <w:numId w:val="1"/>
        </w:numPr>
        <w:spacing w:line="360" w:lineRule="auto"/>
      </w:pPr>
      <w:r w:rsidRPr="00A54E74">
        <w:rPr>
          <w:rStyle w:val="CharStyle22"/>
        </w:rPr>
        <w:t>the text of the annex to the Czech Republic's notification (Annex No 2);</w:t>
      </w:r>
    </w:p>
    <w:p w:rsidR="001A28E4" w:rsidRPr="00A54E74" w:rsidRDefault="001A28E4" w:rsidP="001A28E4">
      <w:pPr>
        <w:pStyle w:val="Akapitzlist"/>
        <w:numPr>
          <w:ilvl w:val="0"/>
          <w:numId w:val="1"/>
        </w:numPr>
        <w:spacing w:line="360" w:lineRule="auto"/>
        <w:ind w:left="567"/>
      </w:pPr>
      <w:r w:rsidRPr="00A54E74">
        <w:rPr>
          <w:rStyle w:val="CharStyle22"/>
        </w:rPr>
        <w:t>the text of the Czech Republic's declaration - declaration pursuant to Article 8(2) of the above Framework Decision (Annex No 3);</w:t>
      </w:r>
    </w:p>
    <w:p w:rsidR="001A28E4" w:rsidRPr="00A54E74" w:rsidRDefault="001A28E4" w:rsidP="001A28E4">
      <w:pPr>
        <w:pStyle w:val="Akapitzlist"/>
        <w:numPr>
          <w:ilvl w:val="0"/>
          <w:numId w:val="1"/>
        </w:numPr>
        <w:spacing w:line="360" w:lineRule="auto"/>
      </w:pPr>
      <w:r w:rsidRPr="00A54E74">
        <w:rPr>
          <w:rStyle w:val="CharStyle22"/>
        </w:rPr>
        <w:t>implementation table;</w:t>
      </w:r>
    </w:p>
    <w:p w:rsidR="001A28E4" w:rsidRPr="00A54E74" w:rsidRDefault="001A28E4" w:rsidP="001A28E4">
      <w:pPr>
        <w:pStyle w:val="Akapitzlist"/>
        <w:numPr>
          <w:ilvl w:val="0"/>
          <w:numId w:val="1"/>
        </w:numPr>
        <w:spacing w:line="360" w:lineRule="auto"/>
        <w:rPr>
          <w:rStyle w:val="CharStyle22"/>
        </w:rPr>
      </w:pPr>
      <w:r w:rsidRPr="00A54E74">
        <w:rPr>
          <w:rStyle w:val="CharStyle22"/>
        </w:rPr>
        <w:t xml:space="preserve">the text of the national transposing provisions. </w:t>
      </w:r>
    </w:p>
    <w:p w:rsidR="001A28E4" w:rsidRDefault="001A28E4" w:rsidP="001A28E4">
      <w:pPr>
        <w:rPr>
          <w:rStyle w:val="CharStyle22"/>
          <w:color w:val="000000"/>
          <w:szCs w:val="24"/>
        </w:rPr>
      </w:pPr>
    </w:p>
    <w:p w:rsidR="001A28E4" w:rsidRPr="00A54E74" w:rsidRDefault="001A28E4" w:rsidP="001A28E4">
      <w:pPr>
        <w:rPr>
          <w:szCs w:val="24"/>
        </w:rPr>
      </w:pPr>
      <w:r w:rsidRPr="00A54E74">
        <w:rPr>
          <w:rStyle w:val="CharStyle22"/>
          <w:color w:val="000000"/>
          <w:szCs w:val="24"/>
        </w:rPr>
        <w:t>I would also like to inform you that the International Department for Criminal Matters at the Ministry of Justice of the Czech Republic can be contacted for the purpose of consultation on technical questions:</w:t>
      </w:r>
    </w:p>
    <w:p w:rsidR="001A28E4" w:rsidRPr="00A54E74" w:rsidRDefault="001A28E4" w:rsidP="001A28E4">
      <w:pPr>
        <w:rPr>
          <w:rStyle w:val="CharStyle22"/>
          <w:szCs w:val="24"/>
        </w:rPr>
      </w:pPr>
    </w:p>
    <w:p w:rsidR="001A28E4" w:rsidRPr="00A54E74" w:rsidRDefault="001A28E4" w:rsidP="001A28E4">
      <w:pPr>
        <w:rPr>
          <w:rStyle w:val="CharStyle22"/>
          <w:color w:val="000000"/>
          <w:szCs w:val="24"/>
        </w:rPr>
      </w:pPr>
      <w:proofErr w:type="spellStart"/>
      <w:r w:rsidRPr="00A54E74">
        <w:rPr>
          <w:rStyle w:val="CharStyle22"/>
          <w:color w:val="000000"/>
          <w:szCs w:val="24"/>
        </w:rPr>
        <w:t>mezinárodní</w:t>
      </w:r>
      <w:proofErr w:type="spellEnd"/>
      <w:r w:rsidRPr="00A54E74">
        <w:rPr>
          <w:rStyle w:val="CharStyle22"/>
          <w:color w:val="000000"/>
          <w:szCs w:val="24"/>
        </w:rPr>
        <w:t xml:space="preserve"> </w:t>
      </w:r>
      <w:proofErr w:type="spellStart"/>
      <w:r w:rsidRPr="00A54E74">
        <w:rPr>
          <w:rStyle w:val="CharStyle22"/>
          <w:color w:val="000000"/>
          <w:szCs w:val="24"/>
        </w:rPr>
        <w:t>odbor</w:t>
      </w:r>
      <w:proofErr w:type="spellEnd"/>
      <w:r w:rsidRPr="00A54E74">
        <w:rPr>
          <w:rStyle w:val="CharStyle22"/>
          <w:color w:val="000000"/>
          <w:szCs w:val="24"/>
        </w:rPr>
        <w:t xml:space="preserve"> </w:t>
      </w:r>
      <w:proofErr w:type="spellStart"/>
      <w:r w:rsidRPr="00A54E74">
        <w:rPr>
          <w:rStyle w:val="CharStyle22"/>
          <w:color w:val="000000"/>
          <w:szCs w:val="24"/>
        </w:rPr>
        <w:t>trestní</w:t>
      </w:r>
      <w:proofErr w:type="spellEnd"/>
    </w:p>
    <w:p w:rsidR="001A28E4" w:rsidRPr="00A54E74" w:rsidRDefault="001A28E4" w:rsidP="001A28E4">
      <w:pPr>
        <w:rPr>
          <w:rStyle w:val="CharStyle22"/>
          <w:szCs w:val="24"/>
        </w:rPr>
      </w:pPr>
      <w:proofErr w:type="spellStart"/>
      <w:r w:rsidRPr="00A54E74">
        <w:rPr>
          <w:rStyle w:val="CharStyle22"/>
          <w:color w:val="000000"/>
          <w:szCs w:val="24"/>
        </w:rPr>
        <w:t>Ministerstvo</w:t>
      </w:r>
      <w:proofErr w:type="spellEnd"/>
      <w:r w:rsidRPr="00A54E74">
        <w:rPr>
          <w:rStyle w:val="CharStyle22"/>
          <w:color w:val="000000"/>
          <w:szCs w:val="24"/>
        </w:rPr>
        <w:t xml:space="preserve"> </w:t>
      </w:r>
      <w:proofErr w:type="spellStart"/>
      <w:r w:rsidRPr="00A54E74">
        <w:rPr>
          <w:rStyle w:val="CharStyle22"/>
          <w:color w:val="000000"/>
          <w:szCs w:val="24"/>
        </w:rPr>
        <w:t>spravedlnosti</w:t>
      </w:r>
      <w:proofErr w:type="spellEnd"/>
      <w:r w:rsidRPr="00A54E74">
        <w:rPr>
          <w:rStyle w:val="CharStyle22"/>
          <w:color w:val="000000"/>
          <w:szCs w:val="24"/>
        </w:rPr>
        <w:t xml:space="preserve"> </w:t>
      </w:r>
      <w:proofErr w:type="spellStart"/>
      <w:r w:rsidRPr="00A54E74">
        <w:rPr>
          <w:rStyle w:val="CharStyle22"/>
          <w:color w:val="000000"/>
          <w:szCs w:val="24"/>
        </w:rPr>
        <w:t>České</w:t>
      </w:r>
      <w:proofErr w:type="spellEnd"/>
      <w:r w:rsidRPr="00A54E74">
        <w:rPr>
          <w:rStyle w:val="CharStyle22"/>
          <w:color w:val="000000"/>
          <w:szCs w:val="24"/>
        </w:rPr>
        <w:t xml:space="preserve"> </w:t>
      </w:r>
      <w:proofErr w:type="spellStart"/>
      <w:r w:rsidRPr="00A54E74">
        <w:rPr>
          <w:rStyle w:val="CharStyle22"/>
          <w:color w:val="000000"/>
          <w:szCs w:val="24"/>
        </w:rPr>
        <w:t>republiky</w:t>
      </w:r>
      <w:proofErr w:type="spellEnd"/>
    </w:p>
    <w:p w:rsidR="001A28E4" w:rsidRPr="00A54E74" w:rsidRDefault="001A28E4" w:rsidP="001A28E4">
      <w:pPr>
        <w:rPr>
          <w:rStyle w:val="CharStyle22"/>
          <w:szCs w:val="24"/>
          <w:lang w:val="fr-BE"/>
        </w:rPr>
      </w:pPr>
      <w:r>
        <w:rPr>
          <w:rStyle w:val="CharStyle22"/>
          <w:color w:val="000000"/>
          <w:szCs w:val="24"/>
          <w:lang w:val="fr-BE"/>
        </w:rPr>
        <w:t>tel.</w:t>
      </w:r>
      <w:r w:rsidRPr="00A54E74">
        <w:rPr>
          <w:rStyle w:val="CharStyle22"/>
          <w:color w:val="000000"/>
          <w:szCs w:val="24"/>
          <w:lang w:val="fr-BE"/>
        </w:rPr>
        <w:t xml:space="preserve">: </w:t>
      </w:r>
      <w:r w:rsidRPr="00A54E74">
        <w:rPr>
          <w:rStyle w:val="CharStyle22"/>
          <w:szCs w:val="24"/>
          <w:lang w:val="fr-BE"/>
        </w:rPr>
        <w:t>+420 221 997 484</w:t>
      </w:r>
    </w:p>
    <w:p w:rsidR="001A28E4" w:rsidRPr="00A54E74" w:rsidRDefault="001A28E4" w:rsidP="001A28E4">
      <w:pPr>
        <w:rPr>
          <w:szCs w:val="24"/>
          <w:lang w:val="fr-BE"/>
        </w:rPr>
      </w:pPr>
      <w:r w:rsidRPr="00A54E74">
        <w:rPr>
          <w:rStyle w:val="CharStyle22"/>
          <w:color w:val="000000"/>
          <w:szCs w:val="24"/>
          <w:lang w:val="fr-BE"/>
        </w:rPr>
        <w:t xml:space="preserve">email: </w:t>
      </w:r>
      <w:hyperlink r:id="rId9">
        <w:r w:rsidRPr="00A54E74">
          <w:rPr>
            <w:rStyle w:val="CharStyle22"/>
            <w:color w:val="000000"/>
            <w:szCs w:val="24"/>
            <w:lang w:val="fr-BE"/>
          </w:rPr>
          <w:t>mot@msp.justice.cz</w:t>
        </w:r>
      </w:hyperlink>
    </w:p>
    <w:p w:rsidR="001A28E4" w:rsidRPr="00A54E74" w:rsidRDefault="001A28E4" w:rsidP="001A28E4">
      <w:pPr>
        <w:rPr>
          <w:rStyle w:val="CharStyle22"/>
          <w:szCs w:val="24"/>
          <w:lang w:val="fr-BE"/>
        </w:rPr>
      </w:pPr>
    </w:p>
    <w:p w:rsidR="001A28E4" w:rsidRPr="00A54E74" w:rsidRDefault="001A28E4" w:rsidP="001A28E4">
      <w:pPr>
        <w:rPr>
          <w:rStyle w:val="CharStyle22"/>
          <w:szCs w:val="24"/>
          <w:lang w:val="fr-BE"/>
        </w:rPr>
      </w:pPr>
    </w:p>
    <w:p w:rsidR="001A28E4" w:rsidRDefault="001A28E4" w:rsidP="001A28E4">
      <w:r>
        <w:t>(Complimentary close)</w:t>
      </w:r>
    </w:p>
    <w:p w:rsidR="001A28E4" w:rsidRDefault="001A28E4" w:rsidP="001A28E4"/>
    <w:p w:rsidR="001A28E4" w:rsidRDefault="001A28E4" w:rsidP="001A28E4"/>
    <w:p w:rsidR="001A28E4" w:rsidRDefault="001A28E4" w:rsidP="001A28E4">
      <w:pPr>
        <w:spacing w:line="240" w:lineRule="auto"/>
        <w:ind w:left="4536"/>
        <w:jc w:val="right"/>
      </w:pPr>
      <w:r>
        <w:t xml:space="preserve">(s.) Martin </w:t>
      </w:r>
      <w:proofErr w:type="spellStart"/>
      <w:r>
        <w:t>Povejšil</w:t>
      </w:r>
      <w:proofErr w:type="spellEnd"/>
    </w:p>
    <w:p w:rsidR="001A28E4" w:rsidRDefault="001A28E4" w:rsidP="001A28E4">
      <w:pPr>
        <w:rPr>
          <w:szCs w:val="24"/>
        </w:rPr>
      </w:pPr>
    </w:p>
    <w:p w:rsidR="001A28E4" w:rsidRDefault="001A28E4" w:rsidP="001A28E4">
      <w:pPr>
        <w:jc w:val="center"/>
        <w:rPr>
          <w:szCs w:val="24"/>
        </w:rPr>
      </w:pPr>
      <w:r>
        <w:rPr>
          <w:szCs w:val="24"/>
        </w:rPr>
        <w:t>__________________</w:t>
      </w:r>
    </w:p>
    <w:p w:rsidR="001A28E4" w:rsidRDefault="001A28E4" w:rsidP="001A28E4">
      <w:pPr>
        <w:rPr>
          <w:szCs w:val="24"/>
        </w:rPr>
      </w:pPr>
    </w:p>
    <w:p w:rsidR="001A28E4" w:rsidRDefault="001A28E4" w:rsidP="001A28E4">
      <w:pPr>
        <w:rPr>
          <w:szCs w:val="24"/>
        </w:rPr>
      </w:pPr>
    </w:p>
    <w:p w:rsidR="001A28E4" w:rsidRDefault="001A28E4">
      <w:pPr>
        <w:widowControl/>
        <w:spacing w:after="200" w:line="276" w:lineRule="auto"/>
        <w:rPr>
          <w:rStyle w:val="CharStyle30"/>
          <w:b/>
          <w:szCs w:val="24"/>
        </w:rPr>
      </w:pPr>
      <w:r>
        <w:rPr>
          <w:rStyle w:val="CharStyle30"/>
          <w:b/>
          <w:szCs w:val="24"/>
        </w:rPr>
        <w:br w:type="page"/>
      </w:r>
    </w:p>
    <w:p w:rsidR="00492B42" w:rsidRPr="00A54E74" w:rsidRDefault="00492B42" w:rsidP="00492B42">
      <w:pPr>
        <w:jc w:val="right"/>
        <w:rPr>
          <w:rStyle w:val="CharStyle30"/>
          <w:b/>
          <w:bCs/>
          <w:szCs w:val="24"/>
        </w:rPr>
      </w:pPr>
      <w:bookmarkStart w:id="15" w:name="_GoBack"/>
      <w:bookmarkEnd w:id="15"/>
      <w:r w:rsidRPr="00A54E74">
        <w:rPr>
          <w:rStyle w:val="CharStyle30"/>
          <w:b/>
          <w:szCs w:val="24"/>
        </w:rPr>
        <w:lastRenderedPageBreak/>
        <w:t>A</w:t>
      </w:r>
      <w:r>
        <w:rPr>
          <w:rStyle w:val="CharStyle30"/>
          <w:b/>
          <w:szCs w:val="24"/>
        </w:rPr>
        <w:t>NNEX</w:t>
      </w:r>
      <w:r w:rsidRPr="00A54E74">
        <w:rPr>
          <w:rStyle w:val="CharStyle30"/>
          <w:b/>
          <w:szCs w:val="24"/>
        </w:rPr>
        <w:t xml:space="preserve"> 3</w:t>
      </w:r>
    </w:p>
    <w:p w:rsidR="00492B42" w:rsidRPr="00A54E74" w:rsidRDefault="00492B42" w:rsidP="00492B42">
      <w:pPr>
        <w:rPr>
          <w:rStyle w:val="CharStyle37"/>
          <w:b w:val="0"/>
          <w:bCs w:val="0"/>
          <w:szCs w:val="24"/>
        </w:rPr>
      </w:pPr>
    </w:p>
    <w:p w:rsidR="00492B42" w:rsidRPr="00A54E74" w:rsidRDefault="00492B42" w:rsidP="00492B42">
      <w:pPr>
        <w:rPr>
          <w:szCs w:val="24"/>
        </w:rPr>
      </w:pPr>
      <w:r w:rsidRPr="00A54E74">
        <w:rPr>
          <w:rStyle w:val="CharStyle37"/>
          <w:color w:val="000000"/>
          <w:szCs w:val="24"/>
        </w:rPr>
        <w:t>Declaration by the Czech Republic on Council Framework Decision of 13 June 2002 on the European arrest warrant and the surrender procedures between Member States (2002/584/J</w:t>
      </w:r>
      <w:r w:rsidRPr="00A54E74">
        <w:rPr>
          <w:rStyle w:val="CharStyle37"/>
          <w:szCs w:val="24"/>
        </w:rPr>
        <w:t>HA)</w:t>
      </w:r>
    </w:p>
    <w:p w:rsidR="00492B42" w:rsidRPr="00A54E74" w:rsidRDefault="00492B42" w:rsidP="00492B42">
      <w:pPr>
        <w:rPr>
          <w:rStyle w:val="CharStyle34"/>
          <w:szCs w:val="24"/>
        </w:rPr>
      </w:pPr>
    </w:p>
    <w:p w:rsidR="00492B42" w:rsidRPr="00A54E74" w:rsidRDefault="00492B42" w:rsidP="00492B42">
      <w:pPr>
        <w:rPr>
          <w:rStyle w:val="CharStyle34"/>
          <w:szCs w:val="24"/>
        </w:rPr>
      </w:pPr>
    </w:p>
    <w:p w:rsidR="00492B42" w:rsidRPr="00A54E74" w:rsidRDefault="00492B42" w:rsidP="00492B42">
      <w:pPr>
        <w:rPr>
          <w:szCs w:val="24"/>
        </w:rPr>
      </w:pPr>
      <w:r w:rsidRPr="00A54E74">
        <w:rPr>
          <w:rStyle w:val="CharStyle34"/>
          <w:color w:val="000000"/>
          <w:szCs w:val="24"/>
        </w:rPr>
        <w:t>Declaration on Article 8(2)</w:t>
      </w:r>
    </w:p>
    <w:p w:rsidR="00492B42" w:rsidRPr="00A54E74" w:rsidRDefault="00492B42" w:rsidP="00492B42">
      <w:pPr>
        <w:jc w:val="both"/>
        <w:rPr>
          <w:rStyle w:val="CharStyle30"/>
          <w:szCs w:val="24"/>
        </w:rPr>
      </w:pPr>
    </w:p>
    <w:p w:rsidR="00492B42" w:rsidRPr="00A54E74" w:rsidRDefault="00492B42" w:rsidP="00492B42">
      <w:pPr>
        <w:rPr>
          <w:rStyle w:val="CharStyle30"/>
          <w:szCs w:val="24"/>
        </w:rPr>
      </w:pPr>
      <w:r w:rsidRPr="00A54E74">
        <w:rPr>
          <w:rStyle w:val="CharStyle30"/>
          <w:color w:val="000000"/>
          <w:szCs w:val="24"/>
        </w:rPr>
        <w:t>The Czech Republic will accept a European arrest warrant drawn up in Czech or accompanied by a translation into Czech. With regard to the Slovak Republic, the Czech Republic will accept a European arrest warrant drawn up in Slovak or accompanied by a translation into Slovak. With regard to the Republic of Austria, the Czech Republic will accept a European arrest warrant drawn up in German or accompanied by a translation into German.</w:t>
      </w:r>
    </w:p>
    <w:p w:rsidR="00492B42" w:rsidRDefault="00492B42" w:rsidP="00492B42">
      <w:pPr>
        <w:rPr>
          <w:rStyle w:val="CharStyle30"/>
        </w:rPr>
      </w:pPr>
    </w:p>
    <w:p w:rsidR="00492B42" w:rsidRDefault="00492B42" w:rsidP="00492B42"/>
    <w:p w:rsidR="00492B42" w:rsidRDefault="00492B42" w:rsidP="00492B42">
      <w:pPr>
        <w:jc w:val="both"/>
      </w:pPr>
    </w:p>
    <w:p w:rsidR="00492B42" w:rsidRPr="00D66440" w:rsidRDefault="00492B42" w:rsidP="00492B42">
      <w:pPr>
        <w:jc w:val="center"/>
      </w:pPr>
      <w:r>
        <w:t>_________________</w:t>
      </w:r>
    </w:p>
    <w:p w:rsidR="00492B42" w:rsidRPr="008E150C" w:rsidRDefault="00492B42" w:rsidP="00492B42"/>
    <w:p w:rsidR="00492B42" w:rsidRPr="008E150C" w:rsidRDefault="00492B42" w:rsidP="00492B42"/>
    <w:p w:rsidR="00657D72" w:rsidRDefault="00657D72"/>
    <w:sectPr w:rsidR="00657D72">
      <w:footerReference w:type="default" r:id="rId10"/>
      <w:footnotePr>
        <w:numRestart w:val="eachPage"/>
      </w:footnotePr>
      <w:endnotePr>
        <w:numFmt w:val="decimal"/>
      </w:endnotePr>
      <w:pgSz w:w="11907" w:h="16840" w:code="9"/>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C7D" w:rsidRDefault="00263C7D">
      <w:pPr>
        <w:spacing w:line="240" w:lineRule="auto"/>
      </w:pPr>
      <w:r>
        <w:separator/>
      </w:r>
    </w:p>
  </w:endnote>
  <w:endnote w:type="continuationSeparator" w:id="0">
    <w:p w:rsidR="00263C7D" w:rsidRDefault="00263C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491" w:rsidRDefault="00263C7D">
    <w:pPr>
      <w:pStyle w:val="Stopka"/>
      <w:pBdr>
        <w:bottom w:val="single" w:sz="4" w:space="1" w:color="auto"/>
      </w:pBdr>
      <w:spacing w:after="60"/>
    </w:pPr>
  </w:p>
  <w:p w:rsidR="00FF7491" w:rsidRPr="00BB6A87" w:rsidRDefault="00492B42" w:rsidP="0015242B">
    <w:pPr>
      <w:pStyle w:val="Stopka"/>
      <w:rPr>
        <w:lang w:val="sv-SE"/>
      </w:rPr>
    </w:pPr>
    <w:r>
      <w:rPr>
        <w:lang w:val="sv-SE"/>
      </w:rPr>
      <w:t>5783/14</w:t>
    </w:r>
    <w:r w:rsidRPr="00BB6A87">
      <w:rPr>
        <w:lang w:val="sv-SE"/>
      </w:rPr>
      <w:tab/>
    </w:r>
    <w:r w:rsidRPr="00BB6A87">
      <w:rPr>
        <w:lang w:val="sv-SE"/>
      </w:rPr>
      <w:tab/>
    </w:r>
    <w:r>
      <w:rPr>
        <w:lang w:val="sv-SE"/>
      </w:rPr>
      <w:t>GS/mvk</w:t>
    </w:r>
    <w:r w:rsidRPr="00BB6A87">
      <w:rPr>
        <w:lang w:val="sv-SE"/>
      </w:rPr>
      <w:tab/>
    </w:r>
    <w:r>
      <w:rPr>
        <w:rStyle w:val="Numerstrony"/>
      </w:rPr>
      <w:fldChar w:fldCharType="begin"/>
    </w:r>
    <w:r w:rsidRPr="00BB6A87">
      <w:rPr>
        <w:rStyle w:val="Numerstrony"/>
        <w:lang w:val="sv-SE"/>
      </w:rPr>
      <w:instrText xml:space="preserve"> PAGE </w:instrText>
    </w:r>
    <w:r>
      <w:rPr>
        <w:rStyle w:val="Numerstrony"/>
      </w:rPr>
      <w:fldChar w:fldCharType="separate"/>
    </w:r>
    <w:r w:rsidR="001A28E4">
      <w:rPr>
        <w:rStyle w:val="Numerstrony"/>
        <w:noProof/>
        <w:lang w:val="sv-SE"/>
      </w:rPr>
      <w:t>3</w:t>
    </w:r>
    <w:r>
      <w:rPr>
        <w:rStyle w:val="Numerstrony"/>
      </w:rPr>
      <w:fldChar w:fldCharType="end"/>
    </w:r>
  </w:p>
  <w:p w:rsidR="00FF7491" w:rsidRPr="00BB6A87" w:rsidRDefault="00492B42" w:rsidP="00FF7491">
    <w:pPr>
      <w:pStyle w:val="Stopka"/>
      <w:tabs>
        <w:tab w:val="clear" w:pos="7371"/>
      </w:tabs>
      <w:spacing w:line="280" w:lineRule="exact"/>
      <w:rPr>
        <w:lang w:val="sv-SE"/>
      </w:rPr>
    </w:pPr>
    <w:r>
      <w:rPr>
        <w:lang w:val="sv-SE"/>
      </w:rPr>
      <w:t>ANNEX 3</w:t>
    </w:r>
    <w:r w:rsidRPr="00BB6A87">
      <w:rPr>
        <w:lang w:val="sv-SE"/>
      </w:rPr>
      <w:tab/>
      <w:t xml:space="preserve">DG </w:t>
    </w:r>
    <w:r>
      <w:rPr>
        <w:lang w:val="sv-SE"/>
      </w:rPr>
      <w:t>D</w:t>
    </w:r>
    <w:r w:rsidRPr="00BB6A87">
      <w:rPr>
        <w:lang w:val="sv-SE"/>
      </w:rPr>
      <w:t xml:space="preserve"> 2B</w:t>
    </w:r>
    <w:r w:rsidRPr="00BB6A87">
      <w:rPr>
        <w:lang w:val="sv-SE"/>
      </w:rPr>
      <w:tab/>
    </w:r>
    <w:r w:rsidRPr="00BB6A87">
      <w:rPr>
        <w:b/>
        <w:position w:val="-4"/>
        <w:sz w:val="36"/>
        <w:lang w:val="sv-SE"/>
      </w:rPr>
      <w:t xml:space="preserve"> </w:t>
    </w:r>
    <w:r>
      <w:rPr>
        <w:b/>
        <w:position w:val="-4"/>
        <w:sz w:val="36"/>
      </w:rPr>
      <w:t> </w:t>
    </w:r>
    <w:r>
      <w:rPr>
        <w:b/>
        <w:position w:val="-4"/>
        <w:sz w:val="36"/>
        <w:lang w:val="sv-SE"/>
      </w:rPr>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C7D" w:rsidRDefault="00263C7D">
      <w:pPr>
        <w:spacing w:line="240" w:lineRule="auto"/>
      </w:pPr>
      <w:r>
        <w:separator/>
      </w:r>
    </w:p>
  </w:footnote>
  <w:footnote w:type="continuationSeparator" w:id="0">
    <w:p w:rsidR="00263C7D" w:rsidRDefault="00263C7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449A8"/>
    <w:multiLevelType w:val="hybridMultilevel"/>
    <w:tmpl w:val="C6BCB720"/>
    <w:lvl w:ilvl="0" w:tplc="B8C84A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42"/>
    <w:rsid w:val="001A28E4"/>
    <w:rsid w:val="00263C7D"/>
    <w:rsid w:val="00492B42"/>
    <w:rsid w:val="00657D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B42"/>
    <w:pPr>
      <w:widowControl w:val="0"/>
      <w:spacing w:after="0" w:line="360" w:lineRule="auto"/>
    </w:pPr>
    <w:rPr>
      <w:rFonts w:ascii="Times New Roman" w:eastAsia="Times New Roman" w:hAnsi="Times New Roman" w:cs="Times New Roman"/>
      <w:sz w:val="24"/>
      <w:szCs w:val="20"/>
      <w:lang w:val="en-GB" w:eastAsia="fr-B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492B42"/>
    <w:pPr>
      <w:tabs>
        <w:tab w:val="center" w:pos="4820"/>
        <w:tab w:val="center" w:pos="7371"/>
        <w:tab w:val="right" w:pos="9639"/>
      </w:tabs>
      <w:spacing w:line="240" w:lineRule="auto"/>
    </w:pPr>
  </w:style>
  <w:style w:type="character" w:customStyle="1" w:styleId="StopkaZnak">
    <w:name w:val="Stopka Znak"/>
    <w:basedOn w:val="Domylnaczcionkaakapitu"/>
    <w:link w:val="Stopka"/>
    <w:rsid w:val="00492B42"/>
    <w:rPr>
      <w:rFonts w:ascii="Times New Roman" w:eastAsia="Times New Roman" w:hAnsi="Times New Roman" w:cs="Times New Roman"/>
      <w:sz w:val="24"/>
      <w:szCs w:val="20"/>
      <w:lang w:val="en-GB" w:eastAsia="fr-BE"/>
    </w:rPr>
  </w:style>
  <w:style w:type="character" w:styleId="Numerstrony">
    <w:name w:val="page number"/>
    <w:basedOn w:val="Domylnaczcionkaakapitu"/>
    <w:rsid w:val="00492B42"/>
  </w:style>
  <w:style w:type="paragraph" w:customStyle="1" w:styleId="Char1">
    <w:name w:val="Char1"/>
    <w:basedOn w:val="Normalny"/>
    <w:rsid w:val="00492B42"/>
    <w:pPr>
      <w:widowControl/>
      <w:spacing w:line="240" w:lineRule="auto"/>
    </w:pPr>
    <w:rPr>
      <w:szCs w:val="24"/>
      <w:lang w:val="pl-PL" w:eastAsia="pl-PL"/>
    </w:rPr>
  </w:style>
  <w:style w:type="character" w:customStyle="1" w:styleId="CharStyle30">
    <w:name w:val="Char Style 30"/>
    <w:link w:val="Style29"/>
    <w:uiPriority w:val="99"/>
    <w:rsid w:val="00492B42"/>
    <w:rPr>
      <w:sz w:val="23"/>
      <w:szCs w:val="23"/>
      <w:shd w:val="clear" w:color="auto" w:fill="FFFFFF"/>
    </w:rPr>
  </w:style>
  <w:style w:type="character" w:customStyle="1" w:styleId="CharStyle34">
    <w:name w:val="Char Style 34"/>
    <w:uiPriority w:val="99"/>
    <w:rsid w:val="00492B42"/>
    <w:rPr>
      <w:rFonts w:ascii="Times New Roman" w:hAnsi="Times New Roman" w:cs="Times New Roman"/>
      <w:sz w:val="23"/>
      <w:szCs w:val="23"/>
      <w:u w:val="single"/>
      <w:shd w:val="clear" w:color="auto" w:fill="FFFFFF"/>
      <w:lang w:val="en-GB" w:eastAsia="en-GB"/>
    </w:rPr>
  </w:style>
  <w:style w:type="character" w:customStyle="1" w:styleId="CharStyle37">
    <w:name w:val="Char Style 37"/>
    <w:link w:val="Style36"/>
    <w:uiPriority w:val="99"/>
    <w:rsid w:val="00492B42"/>
    <w:rPr>
      <w:b/>
      <w:bCs/>
      <w:sz w:val="23"/>
      <w:szCs w:val="23"/>
      <w:shd w:val="clear" w:color="auto" w:fill="FFFFFF"/>
    </w:rPr>
  </w:style>
  <w:style w:type="paragraph" w:customStyle="1" w:styleId="Style29">
    <w:name w:val="Style 29"/>
    <w:basedOn w:val="Normalny"/>
    <w:link w:val="CharStyle30"/>
    <w:uiPriority w:val="99"/>
    <w:rsid w:val="00492B42"/>
    <w:pPr>
      <w:shd w:val="clear" w:color="auto" w:fill="FFFFFF"/>
      <w:spacing w:after="120" w:line="266" w:lineRule="exact"/>
      <w:ind w:hanging="500"/>
      <w:jc w:val="both"/>
    </w:pPr>
    <w:rPr>
      <w:rFonts w:asciiTheme="minorHAnsi" w:eastAsiaTheme="minorHAnsi" w:hAnsiTheme="minorHAnsi" w:cstheme="minorBidi"/>
      <w:sz w:val="23"/>
      <w:szCs w:val="23"/>
      <w:lang w:val="pl-PL" w:eastAsia="en-US"/>
    </w:rPr>
  </w:style>
  <w:style w:type="paragraph" w:customStyle="1" w:styleId="Style36">
    <w:name w:val="Style 36"/>
    <w:basedOn w:val="Normalny"/>
    <w:link w:val="CharStyle37"/>
    <w:uiPriority w:val="99"/>
    <w:rsid w:val="00492B42"/>
    <w:pPr>
      <w:shd w:val="clear" w:color="auto" w:fill="FFFFFF"/>
      <w:spacing w:before="1440" w:after="720" w:line="240" w:lineRule="atLeast"/>
      <w:ind w:hanging="500"/>
    </w:pPr>
    <w:rPr>
      <w:rFonts w:asciiTheme="minorHAnsi" w:eastAsiaTheme="minorHAnsi" w:hAnsiTheme="minorHAnsi" w:cstheme="minorBidi"/>
      <w:b/>
      <w:bCs/>
      <w:sz w:val="23"/>
      <w:szCs w:val="23"/>
      <w:lang w:val="pl-PL" w:eastAsia="en-US"/>
    </w:rPr>
  </w:style>
  <w:style w:type="paragraph" w:customStyle="1" w:styleId="EntInstit">
    <w:name w:val="EntInstit"/>
    <w:basedOn w:val="Normalny"/>
    <w:rsid w:val="001A28E4"/>
    <w:pPr>
      <w:spacing w:line="240" w:lineRule="auto"/>
      <w:jc w:val="right"/>
    </w:pPr>
    <w:rPr>
      <w:b/>
    </w:rPr>
  </w:style>
  <w:style w:type="paragraph" w:customStyle="1" w:styleId="EntRefer">
    <w:name w:val="EntRefer"/>
    <w:basedOn w:val="Normalny"/>
    <w:rsid w:val="001A28E4"/>
    <w:pPr>
      <w:spacing w:line="240" w:lineRule="auto"/>
    </w:pPr>
    <w:rPr>
      <w:b/>
    </w:rPr>
  </w:style>
  <w:style w:type="paragraph" w:customStyle="1" w:styleId="EntEmet">
    <w:name w:val="EntEmet"/>
    <w:basedOn w:val="Normalny"/>
    <w:rsid w:val="001A28E4"/>
    <w:pPr>
      <w:tabs>
        <w:tab w:val="left" w:pos="284"/>
        <w:tab w:val="left" w:pos="567"/>
        <w:tab w:val="left" w:pos="851"/>
        <w:tab w:val="left" w:pos="1134"/>
        <w:tab w:val="left" w:pos="1418"/>
      </w:tabs>
      <w:spacing w:before="40" w:line="240" w:lineRule="auto"/>
    </w:pPr>
  </w:style>
  <w:style w:type="paragraph" w:customStyle="1" w:styleId="EntLogo">
    <w:name w:val="EntLogo"/>
    <w:basedOn w:val="Normalny"/>
    <w:next w:val="EntInstit"/>
    <w:rsid w:val="001A28E4"/>
    <w:rPr>
      <w:b/>
    </w:rPr>
  </w:style>
  <w:style w:type="paragraph" w:customStyle="1" w:styleId="Char10">
    <w:name w:val=" Char1"/>
    <w:basedOn w:val="Normalny"/>
    <w:rsid w:val="001A28E4"/>
    <w:pPr>
      <w:widowControl/>
      <w:spacing w:line="240" w:lineRule="auto"/>
    </w:pPr>
    <w:rPr>
      <w:szCs w:val="24"/>
      <w:lang w:val="pl-PL" w:eastAsia="pl-PL"/>
    </w:rPr>
  </w:style>
  <w:style w:type="character" w:customStyle="1" w:styleId="CharStyle22">
    <w:name w:val="Char Style 22"/>
    <w:link w:val="Style21"/>
    <w:uiPriority w:val="99"/>
    <w:rsid w:val="001A28E4"/>
    <w:rPr>
      <w:sz w:val="23"/>
      <w:szCs w:val="23"/>
      <w:shd w:val="clear" w:color="auto" w:fill="FFFFFF"/>
    </w:rPr>
  </w:style>
  <w:style w:type="paragraph" w:customStyle="1" w:styleId="Style21">
    <w:name w:val="Style 21"/>
    <w:basedOn w:val="Normalny"/>
    <w:link w:val="CharStyle22"/>
    <w:uiPriority w:val="99"/>
    <w:rsid w:val="001A28E4"/>
    <w:pPr>
      <w:shd w:val="clear" w:color="auto" w:fill="FFFFFF"/>
      <w:spacing w:line="288" w:lineRule="exact"/>
      <w:jc w:val="both"/>
    </w:pPr>
    <w:rPr>
      <w:rFonts w:asciiTheme="minorHAnsi" w:eastAsiaTheme="minorHAnsi" w:hAnsiTheme="minorHAnsi" w:cstheme="minorBidi"/>
      <w:sz w:val="23"/>
      <w:szCs w:val="23"/>
      <w:lang w:val="pl-PL" w:eastAsia="en-US"/>
    </w:rPr>
  </w:style>
  <w:style w:type="paragraph" w:styleId="Akapitzlist">
    <w:name w:val="List Paragraph"/>
    <w:basedOn w:val="Normalny"/>
    <w:uiPriority w:val="34"/>
    <w:qFormat/>
    <w:rsid w:val="001A28E4"/>
    <w:pPr>
      <w:spacing w:line="240" w:lineRule="auto"/>
      <w:ind w:left="720"/>
    </w:pPr>
    <w:rPr>
      <w:color w:val="000000"/>
      <w:szCs w:val="24"/>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B42"/>
    <w:pPr>
      <w:widowControl w:val="0"/>
      <w:spacing w:after="0" w:line="360" w:lineRule="auto"/>
    </w:pPr>
    <w:rPr>
      <w:rFonts w:ascii="Times New Roman" w:eastAsia="Times New Roman" w:hAnsi="Times New Roman" w:cs="Times New Roman"/>
      <w:sz w:val="24"/>
      <w:szCs w:val="20"/>
      <w:lang w:val="en-GB" w:eastAsia="fr-B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492B42"/>
    <w:pPr>
      <w:tabs>
        <w:tab w:val="center" w:pos="4820"/>
        <w:tab w:val="center" w:pos="7371"/>
        <w:tab w:val="right" w:pos="9639"/>
      </w:tabs>
      <w:spacing w:line="240" w:lineRule="auto"/>
    </w:pPr>
  </w:style>
  <w:style w:type="character" w:customStyle="1" w:styleId="StopkaZnak">
    <w:name w:val="Stopka Znak"/>
    <w:basedOn w:val="Domylnaczcionkaakapitu"/>
    <w:link w:val="Stopka"/>
    <w:rsid w:val="00492B42"/>
    <w:rPr>
      <w:rFonts w:ascii="Times New Roman" w:eastAsia="Times New Roman" w:hAnsi="Times New Roman" w:cs="Times New Roman"/>
      <w:sz w:val="24"/>
      <w:szCs w:val="20"/>
      <w:lang w:val="en-GB" w:eastAsia="fr-BE"/>
    </w:rPr>
  </w:style>
  <w:style w:type="character" w:styleId="Numerstrony">
    <w:name w:val="page number"/>
    <w:basedOn w:val="Domylnaczcionkaakapitu"/>
    <w:rsid w:val="00492B42"/>
  </w:style>
  <w:style w:type="paragraph" w:customStyle="1" w:styleId="Char1">
    <w:name w:val="Char1"/>
    <w:basedOn w:val="Normalny"/>
    <w:rsid w:val="00492B42"/>
    <w:pPr>
      <w:widowControl/>
      <w:spacing w:line="240" w:lineRule="auto"/>
    </w:pPr>
    <w:rPr>
      <w:szCs w:val="24"/>
      <w:lang w:val="pl-PL" w:eastAsia="pl-PL"/>
    </w:rPr>
  </w:style>
  <w:style w:type="character" w:customStyle="1" w:styleId="CharStyle30">
    <w:name w:val="Char Style 30"/>
    <w:link w:val="Style29"/>
    <w:uiPriority w:val="99"/>
    <w:rsid w:val="00492B42"/>
    <w:rPr>
      <w:sz w:val="23"/>
      <w:szCs w:val="23"/>
      <w:shd w:val="clear" w:color="auto" w:fill="FFFFFF"/>
    </w:rPr>
  </w:style>
  <w:style w:type="character" w:customStyle="1" w:styleId="CharStyle34">
    <w:name w:val="Char Style 34"/>
    <w:uiPriority w:val="99"/>
    <w:rsid w:val="00492B42"/>
    <w:rPr>
      <w:rFonts w:ascii="Times New Roman" w:hAnsi="Times New Roman" w:cs="Times New Roman"/>
      <w:sz w:val="23"/>
      <w:szCs w:val="23"/>
      <w:u w:val="single"/>
      <w:shd w:val="clear" w:color="auto" w:fill="FFFFFF"/>
      <w:lang w:val="en-GB" w:eastAsia="en-GB"/>
    </w:rPr>
  </w:style>
  <w:style w:type="character" w:customStyle="1" w:styleId="CharStyle37">
    <w:name w:val="Char Style 37"/>
    <w:link w:val="Style36"/>
    <w:uiPriority w:val="99"/>
    <w:rsid w:val="00492B42"/>
    <w:rPr>
      <w:b/>
      <w:bCs/>
      <w:sz w:val="23"/>
      <w:szCs w:val="23"/>
      <w:shd w:val="clear" w:color="auto" w:fill="FFFFFF"/>
    </w:rPr>
  </w:style>
  <w:style w:type="paragraph" w:customStyle="1" w:styleId="Style29">
    <w:name w:val="Style 29"/>
    <w:basedOn w:val="Normalny"/>
    <w:link w:val="CharStyle30"/>
    <w:uiPriority w:val="99"/>
    <w:rsid w:val="00492B42"/>
    <w:pPr>
      <w:shd w:val="clear" w:color="auto" w:fill="FFFFFF"/>
      <w:spacing w:after="120" w:line="266" w:lineRule="exact"/>
      <w:ind w:hanging="500"/>
      <w:jc w:val="both"/>
    </w:pPr>
    <w:rPr>
      <w:rFonts w:asciiTheme="minorHAnsi" w:eastAsiaTheme="minorHAnsi" w:hAnsiTheme="minorHAnsi" w:cstheme="minorBidi"/>
      <w:sz w:val="23"/>
      <w:szCs w:val="23"/>
      <w:lang w:val="pl-PL" w:eastAsia="en-US"/>
    </w:rPr>
  </w:style>
  <w:style w:type="paragraph" w:customStyle="1" w:styleId="Style36">
    <w:name w:val="Style 36"/>
    <w:basedOn w:val="Normalny"/>
    <w:link w:val="CharStyle37"/>
    <w:uiPriority w:val="99"/>
    <w:rsid w:val="00492B42"/>
    <w:pPr>
      <w:shd w:val="clear" w:color="auto" w:fill="FFFFFF"/>
      <w:spacing w:before="1440" w:after="720" w:line="240" w:lineRule="atLeast"/>
      <w:ind w:hanging="500"/>
    </w:pPr>
    <w:rPr>
      <w:rFonts w:asciiTheme="minorHAnsi" w:eastAsiaTheme="minorHAnsi" w:hAnsiTheme="minorHAnsi" w:cstheme="minorBidi"/>
      <w:b/>
      <w:bCs/>
      <w:sz w:val="23"/>
      <w:szCs w:val="23"/>
      <w:lang w:val="pl-PL" w:eastAsia="en-US"/>
    </w:rPr>
  </w:style>
  <w:style w:type="paragraph" w:customStyle="1" w:styleId="EntInstit">
    <w:name w:val="EntInstit"/>
    <w:basedOn w:val="Normalny"/>
    <w:rsid w:val="001A28E4"/>
    <w:pPr>
      <w:spacing w:line="240" w:lineRule="auto"/>
      <w:jc w:val="right"/>
    </w:pPr>
    <w:rPr>
      <w:b/>
    </w:rPr>
  </w:style>
  <w:style w:type="paragraph" w:customStyle="1" w:styleId="EntRefer">
    <w:name w:val="EntRefer"/>
    <w:basedOn w:val="Normalny"/>
    <w:rsid w:val="001A28E4"/>
    <w:pPr>
      <w:spacing w:line="240" w:lineRule="auto"/>
    </w:pPr>
    <w:rPr>
      <w:b/>
    </w:rPr>
  </w:style>
  <w:style w:type="paragraph" w:customStyle="1" w:styleId="EntEmet">
    <w:name w:val="EntEmet"/>
    <w:basedOn w:val="Normalny"/>
    <w:rsid w:val="001A28E4"/>
    <w:pPr>
      <w:tabs>
        <w:tab w:val="left" w:pos="284"/>
        <w:tab w:val="left" w:pos="567"/>
        <w:tab w:val="left" w:pos="851"/>
        <w:tab w:val="left" w:pos="1134"/>
        <w:tab w:val="left" w:pos="1418"/>
      </w:tabs>
      <w:spacing w:before="40" w:line="240" w:lineRule="auto"/>
    </w:pPr>
  </w:style>
  <w:style w:type="paragraph" w:customStyle="1" w:styleId="EntLogo">
    <w:name w:val="EntLogo"/>
    <w:basedOn w:val="Normalny"/>
    <w:next w:val="EntInstit"/>
    <w:rsid w:val="001A28E4"/>
    <w:rPr>
      <w:b/>
    </w:rPr>
  </w:style>
  <w:style w:type="paragraph" w:customStyle="1" w:styleId="Char10">
    <w:name w:val=" Char1"/>
    <w:basedOn w:val="Normalny"/>
    <w:rsid w:val="001A28E4"/>
    <w:pPr>
      <w:widowControl/>
      <w:spacing w:line="240" w:lineRule="auto"/>
    </w:pPr>
    <w:rPr>
      <w:szCs w:val="24"/>
      <w:lang w:val="pl-PL" w:eastAsia="pl-PL"/>
    </w:rPr>
  </w:style>
  <w:style w:type="character" w:customStyle="1" w:styleId="CharStyle22">
    <w:name w:val="Char Style 22"/>
    <w:link w:val="Style21"/>
    <w:uiPriority w:val="99"/>
    <w:rsid w:val="001A28E4"/>
    <w:rPr>
      <w:sz w:val="23"/>
      <w:szCs w:val="23"/>
      <w:shd w:val="clear" w:color="auto" w:fill="FFFFFF"/>
    </w:rPr>
  </w:style>
  <w:style w:type="paragraph" w:customStyle="1" w:styleId="Style21">
    <w:name w:val="Style 21"/>
    <w:basedOn w:val="Normalny"/>
    <w:link w:val="CharStyle22"/>
    <w:uiPriority w:val="99"/>
    <w:rsid w:val="001A28E4"/>
    <w:pPr>
      <w:shd w:val="clear" w:color="auto" w:fill="FFFFFF"/>
      <w:spacing w:line="288" w:lineRule="exact"/>
      <w:jc w:val="both"/>
    </w:pPr>
    <w:rPr>
      <w:rFonts w:asciiTheme="minorHAnsi" w:eastAsiaTheme="minorHAnsi" w:hAnsiTheme="minorHAnsi" w:cstheme="minorBidi"/>
      <w:sz w:val="23"/>
      <w:szCs w:val="23"/>
      <w:lang w:val="pl-PL" w:eastAsia="en-US"/>
    </w:rPr>
  </w:style>
  <w:style w:type="paragraph" w:styleId="Akapitzlist">
    <w:name w:val="List Paragraph"/>
    <w:basedOn w:val="Normalny"/>
    <w:uiPriority w:val="34"/>
    <w:qFormat/>
    <w:rsid w:val="001A28E4"/>
    <w:pPr>
      <w:spacing w:line="240" w:lineRule="auto"/>
      <w:ind w:left="720"/>
    </w:pPr>
    <w:rPr>
      <w:color w:val="000000"/>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t@msp.justice.c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2381</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Wójcikowska Magdalena  (DPK)</dc:creator>
  <cp:lastModifiedBy>Wójcikowska Magdalena  (DPK)</cp:lastModifiedBy>
  <cp:revision>2</cp:revision>
  <dcterms:created xsi:type="dcterms:W3CDTF">2014-04-03T10:39:00Z</dcterms:created>
  <dcterms:modified xsi:type="dcterms:W3CDTF">2014-04-03T13:33:00Z</dcterms:modified>
</cp:coreProperties>
</file>