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0F332F" w:rsidRDefault="000F332F" w:rsidP="000F332F">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bf8a775-2939-490e-a64e-e2acade12ec2" style="width:568.5pt;height:395.25pt">
            <v:imagedata r:id="rId8" o:title=""/>
          </v:shape>
        </w:pict>
      </w:r>
      <w:bookmarkEnd w:id="0"/>
    </w:p>
    <w:p w:rsidR="00D02758" w:rsidRDefault="00D02758" w:rsidP="000303CC">
      <w:pPr>
        <w:spacing w:before="0" w:after="0"/>
      </w:pPr>
    </w:p>
    <w:p w:rsidR="00E91140" w:rsidRDefault="00E91140" w:rsidP="000303CC">
      <w:pPr>
        <w:spacing w:before="0" w:after="0"/>
      </w:pPr>
      <w:r>
        <w:t>Dear Sir,</w:t>
      </w:r>
    </w:p>
    <w:p w:rsidR="00E91140" w:rsidRDefault="00E91140" w:rsidP="000303CC">
      <w:pPr>
        <w:spacing w:before="0" w:after="0"/>
      </w:pPr>
    </w:p>
    <w:p w:rsidR="000303CC" w:rsidRDefault="0063363E" w:rsidP="007B09B1">
      <w:pPr>
        <w:spacing w:before="0" w:after="0"/>
      </w:pPr>
      <w:r>
        <w:t xml:space="preserve">Please find attached the </w:t>
      </w:r>
      <w:r w:rsidR="00E75AF7">
        <w:t xml:space="preserve">amendments to the provisions of legislation of the Republic of Lithuania, transferring the provisions of the </w:t>
      </w:r>
      <w:r>
        <w:t>Council Framework Decision 2009/94</w:t>
      </w:r>
      <w:r w:rsidR="007B09B1">
        <w:t>8</w:t>
      </w:r>
      <w:r>
        <w:t>/JHA.</w:t>
      </w:r>
    </w:p>
    <w:p w:rsidR="000303CC" w:rsidRPr="00C7287D" w:rsidRDefault="000303CC" w:rsidP="000303CC">
      <w:pPr>
        <w:spacing w:before="0" w:after="0"/>
      </w:pPr>
    </w:p>
    <w:p w:rsidR="00E91140" w:rsidRPr="00C7287D" w:rsidRDefault="00E91140" w:rsidP="000303CC">
      <w:pPr>
        <w:spacing w:before="0" w:after="0"/>
      </w:pPr>
    </w:p>
    <w:p w:rsidR="00E91140" w:rsidRDefault="00C378A2" w:rsidP="000303CC">
      <w:pPr>
        <w:spacing w:before="0" w:after="0"/>
      </w:pPr>
      <w:r>
        <w:t>(Complimentary close)</w:t>
      </w:r>
    </w:p>
    <w:p w:rsidR="00C378A2" w:rsidRDefault="00C378A2" w:rsidP="000303CC">
      <w:pPr>
        <w:spacing w:before="0" w:after="0"/>
      </w:pPr>
    </w:p>
    <w:p w:rsidR="00C378A2" w:rsidRDefault="00C378A2" w:rsidP="003100D0">
      <w:pPr>
        <w:spacing w:before="0" w:after="0"/>
        <w:jc w:val="right"/>
      </w:pPr>
      <w:r>
        <w:t xml:space="preserve">(s.) </w:t>
      </w:r>
      <w:proofErr w:type="spellStart"/>
      <w:r w:rsidR="003100D0">
        <w:t>Raimundas</w:t>
      </w:r>
      <w:proofErr w:type="spellEnd"/>
      <w:r w:rsidR="003100D0">
        <w:t xml:space="preserve"> </w:t>
      </w:r>
      <w:proofErr w:type="spellStart"/>
      <w:r w:rsidR="003100D0">
        <w:t>Karoblis</w:t>
      </w:r>
      <w:proofErr w:type="spellEnd"/>
    </w:p>
    <w:p w:rsidR="000303CC" w:rsidRDefault="000303CC" w:rsidP="000303CC">
      <w:pPr>
        <w:spacing w:before="0" w:after="0"/>
        <w:jc w:val="right"/>
      </w:pPr>
    </w:p>
    <w:p w:rsidR="002D4272" w:rsidRDefault="00F1626D" w:rsidP="002D4272">
      <w:pPr>
        <w:jc w:val="center"/>
      </w:pPr>
      <w:r>
        <w:t>____________________</w:t>
      </w:r>
    </w:p>
    <w:p w:rsidR="002D4272" w:rsidRDefault="002D4272" w:rsidP="002D4272">
      <w:pPr>
        <w:sectPr w:rsidR="002D4272" w:rsidSect="00AA15C8">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3E6D5D" w:rsidRPr="00647B91" w:rsidRDefault="003E6D5D" w:rsidP="00507ACD">
      <w:pPr>
        <w:spacing w:before="0" w:after="0"/>
      </w:pPr>
    </w:p>
    <w:p w:rsidR="00507ACD" w:rsidRDefault="00507ACD" w:rsidP="00507ACD">
      <w:pPr>
        <w:spacing w:before="0" w:after="0"/>
        <w:jc w:val="center"/>
        <w:rPr>
          <w:b/>
        </w:rPr>
      </w:pPr>
      <w:r w:rsidRPr="00243868">
        <w:rPr>
          <w:b/>
        </w:rPr>
        <w:t>LAW ADDING ARTICLE 68</w:t>
      </w:r>
      <w:r w:rsidRPr="00243868">
        <w:rPr>
          <w:b/>
          <w:vertAlign w:val="superscript"/>
        </w:rPr>
        <w:t>1</w:t>
      </w:r>
      <w:r w:rsidRPr="00243868">
        <w:rPr>
          <w:b/>
        </w:rPr>
        <w:t xml:space="preserve"> </w:t>
      </w:r>
    </w:p>
    <w:p w:rsidR="00507ACD" w:rsidRPr="00243868" w:rsidRDefault="00507ACD" w:rsidP="00507ACD">
      <w:pPr>
        <w:spacing w:before="0" w:after="0"/>
        <w:jc w:val="center"/>
        <w:rPr>
          <w:b/>
          <w:bCs/>
        </w:rPr>
      </w:pPr>
      <w:r w:rsidRPr="00243868">
        <w:rPr>
          <w:b/>
        </w:rPr>
        <w:t>TO THE CODE OF CRIMINAL PROCEDURE OF THE REPUBLIC OF LITHUANIA AND AMENDING THE ANNEX TO THE CODE</w:t>
      </w:r>
    </w:p>
    <w:p w:rsidR="00507ACD" w:rsidRPr="00243868" w:rsidRDefault="00507ACD" w:rsidP="00507ACD">
      <w:pPr>
        <w:jc w:val="center"/>
        <w:rPr>
          <w:lang w:val="pt-PT"/>
        </w:rPr>
      </w:pPr>
      <w:r w:rsidRPr="00243868">
        <w:rPr>
          <w:lang w:val="pt-PT"/>
        </w:rPr>
        <w:t xml:space="preserve">6 </w:t>
      </w:r>
      <w:proofErr w:type="spellStart"/>
      <w:r w:rsidRPr="00243868">
        <w:rPr>
          <w:lang w:val="pt-PT"/>
        </w:rPr>
        <w:t>November</w:t>
      </w:r>
      <w:proofErr w:type="spellEnd"/>
      <w:r w:rsidRPr="00243868">
        <w:rPr>
          <w:lang w:val="pt-PT"/>
        </w:rPr>
        <w:t xml:space="preserve"> 2014, No XII-1295</w:t>
      </w:r>
    </w:p>
    <w:p w:rsidR="00507ACD" w:rsidRPr="00243868" w:rsidRDefault="00507ACD" w:rsidP="00507ACD">
      <w:pPr>
        <w:spacing w:before="0"/>
        <w:jc w:val="center"/>
        <w:rPr>
          <w:lang w:val="pt-PT"/>
        </w:rPr>
      </w:pPr>
      <w:r w:rsidRPr="00243868">
        <w:rPr>
          <w:lang w:val="pt-PT"/>
        </w:rPr>
        <w:t>Vilnius</w:t>
      </w:r>
    </w:p>
    <w:p w:rsidR="00507ACD" w:rsidRPr="00243868" w:rsidRDefault="00507ACD" w:rsidP="00507ACD">
      <w:pPr>
        <w:rPr>
          <w:lang w:val="pt-PT"/>
        </w:rPr>
      </w:pPr>
    </w:p>
    <w:p w:rsidR="00507ACD" w:rsidRPr="00243868" w:rsidRDefault="00507ACD" w:rsidP="00507ACD">
      <w:pPr>
        <w:ind w:left="567"/>
        <w:rPr>
          <w:b/>
          <w:bCs/>
        </w:rPr>
      </w:pPr>
      <w:bookmarkStart w:id="3" w:name="bookmark5"/>
      <w:proofErr w:type="spellStart"/>
      <w:r w:rsidRPr="00243868">
        <w:rPr>
          <w:b/>
          <w:lang w:val="pt-PT"/>
        </w:rPr>
        <w:t>Article</w:t>
      </w:r>
      <w:proofErr w:type="spellEnd"/>
      <w:r w:rsidRPr="00243868">
        <w:rPr>
          <w:b/>
          <w:lang w:val="pt-PT"/>
        </w:rPr>
        <w:t xml:space="preserve"> 1. </w:t>
      </w:r>
      <w:r w:rsidRPr="00243868">
        <w:rPr>
          <w:b/>
        </w:rPr>
        <w:t>Addition of Article 68</w:t>
      </w:r>
      <w:r w:rsidRPr="00243868">
        <w:rPr>
          <w:b/>
          <w:vertAlign w:val="superscript"/>
        </w:rPr>
        <w:t>1</w:t>
      </w:r>
      <w:r w:rsidRPr="00243868">
        <w:rPr>
          <w:b/>
        </w:rPr>
        <w:t xml:space="preserve"> to the Code</w:t>
      </w:r>
      <w:bookmarkEnd w:id="3"/>
    </w:p>
    <w:p w:rsidR="00507ACD" w:rsidRPr="00243868" w:rsidRDefault="00507ACD" w:rsidP="00507ACD">
      <w:pPr>
        <w:ind w:left="567"/>
      </w:pPr>
      <w:r w:rsidRPr="00243868">
        <w:t>Article 68</w:t>
      </w:r>
      <w:r w:rsidRPr="00243868">
        <w:rPr>
          <w:vertAlign w:val="superscript"/>
        </w:rPr>
        <w:t>1</w:t>
      </w:r>
      <w:r w:rsidRPr="00243868">
        <w:t xml:space="preserve"> is hereby added to the Code:</w:t>
      </w:r>
    </w:p>
    <w:p w:rsidR="00507ACD" w:rsidRPr="00243868" w:rsidRDefault="00507ACD" w:rsidP="00507ACD">
      <w:pPr>
        <w:ind w:left="567"/>
        <w:jc w:val="center"/>
        <w:rPr>
          <w:b/>
          <w:bCs/>
        </w:rPr>
      </w:pPr>
      <w:r w:rsidRPr="00243868">
        <w:rPr>
          <w:b/>
        </w:rPr>
        <w:t>"Article 68</w:t>
      </w:r>
      <w:r w:rsidRPr="00243868">
        <w:rPr>
          <w:b/>
          <w:vertAlign w:val="superscript"/>
        </w:rPr>
        <w:t>1</w:t>
      </w:r>
      <w:r w:rsidRPr="00243868">
        <w:rPr>
          <w:b/>
        </w:rPr>
        <w:t>. Exchange of information and direct consultations with a view to avoiding parallel criminal proceedings in EU Member States</w:t>
      </w:r>
    </w:p>
    <w:p w:rsidR="00507ACD" w:rsidRPr="00243868" w:rsidRDefault="00507ACD" w:rsidP="00507ACD">
      <w:pPr>
        <w:ind w:firstLine="567"/>
      </w:pPr>
      <w:r w:rsidRPr="00243868">
        <w:t>1.</w:t>
      </w:r>
      <w:r w:rsidRPr="00243868">
        <w:tab/>
        <w:t xml:space="preserve">If there is reason to believe that criminal proceedings concerning the same person and the same criminal offence are being conducted in another EU Member State, the prosecutor shall, on his or her own initiative if the case is at the pre-trial stage or, by means of a letter </w:t>
      </w:r>
      <w:proofErr w:type="spellStart"/>
      <w:r w:rsidRPr="00243868">
        <w:t>rogatory</w:t>
      </w:r>
      <w:proofErr w:type="spellEnd"/>
      <w:r w:rsidRPr="00243868">
        <w:t xml:space="preserve"> from the court seized if the case has been brought to court, contact the competent authority of the other EU Member State to confirm the existence of parallel proceedings. The competent authority of the other EU Member State may be consulted via the Prosecutor General's Office of the Republic of Lithuania or a prosecutor of the Prosecutor General's Office of the Republic of Lithuania (the national member of </w:t>
      </w:r>
      <w:proofErr w:type="spellStart"/>
      <w:r w:rsidRPr="00243868">
        <w:t>Eurojust</w:t>
      </w:r>
      <w:proofErr w:type="spellEnd"/>
      <w:r w:rsidRPr="00243868">
        <w:t xml:space="preserve"> for Lithuania or the deputy national member of </w:t>
      </w:r>
      <w:proofErr w:type="spellStart"/>
      <w:r w:rsidRPr="00243868">
        <w:t>Eurojust</w:t>
      </w:r>
      <w:proofErr w:type="spellEnd"/>
      <w:r w:rsidRPr="00243868">
        <w:t xml:space="preserve"> for Lithuania). </w:t>
      </w:r>
    </w:p>
    <w:p w:rsidR="00507ACD" w:rsidRPr="00243868" w:rsidRDefault="00507ACD" w:rsidP="00507ACD">
      <w:pPr>
        <w:ind w:firstLine="567"/>
      </w:pPr>
      <w:r w:rsidRPr="00243868">
        <w:t>2.</w:t>
      </w:r>
      <w:r w:rsidRPr="00243868">
        <w:tab/>
        <w:t xml:space="preserve">Requests for information from the competent authorities of other EU Member States as to whether criminal proceedings are being conducted in Lithuania concerning the same person and the same criminal offence shall be received via the Prosecutor General's Office of the Republic of Lithuania or a prosecutor of the Prosecutor General's Office of the Republic of Lithuania (the national member of </w:t>
      </w:r>
      <w:proofErr w:type="spellStart"/>
      <w:r w:rsidRPr="00243868">
        <w:t>Eurojust</w:t>
      </w:r>
      <w:proofErr w:type="spellEnd"/>
      <w:r w:rsidRPr="00243868">
        <w:t xml:space="preserve"> for Lithuania or the deputy national member of </w:t>
      </w:r>
      <w:proofErr w:type="spellStart"/>
      <w:r w:rsidRPr="00243868">
        <w:t>Eurojust</w:t>
      </w:r>
      <w:proofErr w:type="spellEnd"/>
      <w:r w:rsidRPr="00243868">
        <w:t xml:space="preserve"> for Lithuania).</w:t>
      </w:r>
    </w:p>
    <w:p w:rsidR="00507ACD" w:rsidRDefault="00507ACD" w:rsidP="00507ACD">
      <w:pPr>
        <w:ind w:firstLine="567"/>
      </w:pPr>
      <w:r>
        <w:br w:type="page"/>
      </w:r>
      <w:r w:rsidRPr="00243868">
        <w:lastRenderedPageBreak/>
        <w:t>3.</w:t>
      </w:r>
      <w:r w:rsidRPr="00243868">
        <w:tab/>
        <w:t xml:space="preserve">If it is established that criminal proceedings concerning the same person and the same criminal offence are being conducted in the Republic of Lithuania and in another EU Member State, the prosecutor shall enter into direct consultations with the competent authority of the other EU Member State in order to find an effective solution aimed at avoiding the adverse consequences arising from such parallel proceedings and, if possible, at concentrating the criminal proceedings in one Member State. If the case has been brought to court, the prosecutor shall inform the court of the </w:t>
      </w:r>
    </w:p>
    <w:p w:rsidR="00507ACD" w:rsidRPr="00243868" w:rsidRDefault="00507ACD" w:rsidP="00507ACD">
      <w:r w:rsidRPr="00243868">
        <w:t>progress of the consultations and the proposed solutions, if need be submitting the necessary requests in accordance with this Code. If there are grounds to do so, the prosecutor or trial court may propose that the Prosecutor General's Office of the Republic of Lithuania submit a request to the other EU Member State to take over the criminal prosecution, or may propose that the competent authority of the other EU Member State submit a request to the Prosecutor General's Office of the Republic of Lithuania to take over the criminal prosecution.</w:t>
      </w:r>
    </w:p>
    <w:p w:rsidR="00507ACD" w:rsidRPr="00243868" w:rsidRDefault="00507ACD" w:rsidP="00507ACD">
      <w:pPr>
        <w:ind w:firstLine="567"/>
      </w:pPr>
      <w:r w:rsidRPr="00243868">
        <w:t>4.</w:t>
      </w:r>
      <w:r w:rsidRPr="00243868">
        <w:tab/>
        <w:t xml:space="preserve">If an effective solution is not found in the course of the direct consultations, the prosecutor may contact a prosecutor of the Prosecutor General's Office of the Republic of Lithuania (the national member of </w:t>
      </w:r>
      <w:proofErr w:type="spellStart"/>
      <w:r w:rsidRPr="00243868">
        <w:t>Eurojust</w:t>
      </w:r>
      <w:proofErr w:type="spellEnd"/>
      <w:r w:rsidRPr="00243868">
        <w:t xml:space="preserve"> for Lithuania or the deputy national member of </w:t>
      </w:r>
      <w:proofErr w:type="spellStart"/>
      <w:r w:rsidRPr="00243868">
        <w:t>Eurojust</w:t>
      </w:r>
      <w:proofErr w:type="spellEnd"/>
      <w:r w:rsidRPr="00243868">
        <w:t xml:space="preserve"> for Lithuania) for assistance in resolving the conflict of exercise of jurisdiction.</w:t>
      </w:r>
    </w:p>
    <w:p w:rsidR="00507ACD" w:rsidRPr="00243868" w:rsidRDefault="00507ACD" w:rsidP="00507ACD">
      <w:pPr>
        <w:ind w:firstLine="567"/>
      </w:pPr>
      <w:r w:rsidRPr="00243868">
        <w:t>5.</w:t>
      </w:r>
      <w:r w:rsidRPr="00243868">
        <w:tab/>
        <w:t>The Prosecutor General of the Republic of Lithuania shall establish the arrangements for the exchange of information and for direct consultations with the competent authorities of other EU Member States."</w:t>
      </w:r>
    </w:p>
    <w:p w:rsidR="00507ACD" w:rsidRPr="00243868" w:rsidRDefault="00507ACD" w:rsidP="00507ACD">
      <w:pPr>
        <w:ind w:left="567"/>
        <w:rPr>
          <w:b/>
          <w:bCs/>
        </w:rPr>
      </w:pPr>
      <w:r w:rsidRPr="00243868">
        <w:rPr>
          <w:b/>
        </w:rPr>
        <w:t>Article 2. Amendment of the Annex to the Code</w:t>
      </w:r>
    </w:p>
    <w:p w:rsidR="00507ACD" w:rsidRPr="00243868" w:rsidRDefault="00507ACD" w:rsidP="00507ACD">
      <w:pPr>
        <w:ind w:left="567"/>
      </w:pPr>
      <w:r w:rsidRPr="00243868">
        <w:t>1.</w:t>
      </w:r>
      <w:r w:rsidRPr="00243868">
        <w:tab/>
        <w:t>A new point 9 is added to the Annex to the Code:</w:t>
      </w:r>
    </w:p>
    <w:p w:rsidR="00507ACD" w:rsidRPr="00243868" w:rsidRDefault="00507ACD" w:rsidP="00507ACD">
      <w:pPr>
        <w:ind w:firstLine="567"/>
      </w:pPr>
      <w:r w:rsidRPr="00243868">
        <w:t xml:space="preserve">"9. Council </w:t>
      </w:r>
      <w:r>
        <w:t>Framework Decision </w:t>
      </w:r>
      <w:r w:rsidRPr="00243868">
        <w:t>2009/948/JHA of 30</w:t>
      </w:r>
      <w:r>
        <w:t> </w:t>
      </w:r>
      <w:r w:rsidRPr="00243868">
        <w:t>November</w:t>
      </w:r>
      <w:r>
        <w:t> </w:t>
      </w:r>
      <w:r w:rsidRPr="00243868">
        <w:t>2009 on prevention and settlement of conflicts of exercise of jurisdiction in criminal proceedings (OJ L 328, 15.12.2009, p. 42)."</w:t>
      </w:r>
    </w:p>
    <w:p w:rsidR="00507ACD" w:rsidRPr="00243868" w:rsidRDefault="00507ACD" w:rsidP="00507ACD">
      <w:pPr>
        <w:ind w:firstLine="567"/>
      </w:pPr>
      <w:r w:rsidRPr="00243868">
        <w:t>2.</w:t>
      </w:r>
      <w:r w:rsidRPr="00243868">
        <w:tab/>
        <w:t>The former points</w:t>
      </w:r>
      <w:r>
        <w:t> </w:t>
      </w:r>
      <w:r w:rsidRPr="00243868">
        <w:t>9, 10, 11 and 12 of the Annex to the Code are renumbered 10, 11, 12 and</w:t>
      </w:r>
      <w:r>
        <w:t> </w:t>
      </w:r>
      <w:r w:rsidRPr="00243868">
        <w:t>13 respectively.</w:t>
      </w:r>
    </w:p>
    <w:p w:rsidR="00507ACD" w:rsidRPr="00243868" w:rsidRDefault="00507ACD" w:rsidP="00507ACD">
      <w:pPr>
        <w:ind w:left="567"/>
        <w:rPr>
          <w:b/>
          <w:bCs/>
        </w:rPr>
      </w:pPr>
      <w:r>
        <w:rPr>
          <w:b/>
        </w:rPr>
        <w:br w:type="page"/>
      </w:r>
      <w:r w:rsidRPr="00243868">
        <w:rPr>
          <w:b/>
        </w:rPr>
        <w:lastRenderedPageBreak/>
        <w:t>Article 3. Entry into force</w:t>
      </w:r>
    </w:p>
    <w:p w:rsidR="00507ACD" w:rsidRPr="00243868" w:rsidRDefault="00507ACD" w:rsidP="00507ACD">
      <w:pPr>
        <w:ind w:left="567"/>
      </w:pPr>
      <w:r w:rsidRPr="00243868">
        <w:t>With the exception of Article 4, this Law shall enter into force on 1</w:t>
      </w:r>
      <w:r>
        <w:t> </w:t>
      </w:r>
      <w:r w:rsidRPr="00243868">
        <w:t>December</w:t>
      </w:r>
      <w:r>
        <w:t> </w:t>
      </w:r>
      <w:r w:rsidRPr="00243868">
        <w:t>2014.</w:t>
      </w:r>
    </w:p>
    <w:p w:rsidR="00507ACD" w:rsidRPr="00243868" w:rsidRDefault="00507ACD" w:rsidP="00507ACD">
      <w:pPr>
        <w:ind w:left="567"/>
        <w:rPr>
          <w:b/>
          <w:bCs/>
        </w:rPr>
      </w:pPr>
      <w:r w:rsidRPr="00243868">
        <w:rPr>
          <w:b/>
        </w:rPr>
        <w:t>Article 4. Proposal to the Prosecutor General of the Republic of Lithuania</w:t>
      </w:r>
    </w:p>
    <w:p w:rsidR="00507ACD" w:rsidRPr="00243868" w:rsidRDefault="00507ACD" w:rsidP="00507ACD">
      <w:pPr>
        <w:ind w:left="567"/>
      </w:pPr>
      <w:r w:rsidRPr="00243868">
        <w:t>The Prosecutor General of the Republic of Lithuania shall adopt implementing acts for this Law before it enters into force.</w:t>
      </w:r>
    </w:p>
    <w:p w:rsidR="00507ACD" w:rsidRPr="00243868" w:rsidRDefault="00507ACD" w:rsidP="00507ACD">
      <w:pPr>
        <w:ind w:left="567"/>
        <w:rPr>
          <w:i/>
          <w:iCs/>
        </w:rPr>
      </w:pPr>
      <w:r w:rsidRPr="00243868">
        <w:rPr>
          <w:i/>
        </w:rPr>
        <w:t xml:space="preserve">I hereby promulgate this Law adopted by the </w:t>
      </w:r>
      <w:proofErr w:type="spellStart"/>
      <w:r w:rsidRPr="00243868">
        <w:rPr>
          <w:i/>
        </w:rPr>
        <w:t>Seimas</w:t>
      </w:r>
      <w:proofErr w:type="spellEnd"/>
      <w:r w:rsidRPr="00243868">
        <w:rPr>
          <w:i/>
        </w:rPr>
        <w:t xml:space="preserve"> (Parliament) of the Republic of Lithuania.</w:t>
      </w:r>
    </w:p>
    <w:p w:rsidR="00507ACD" w:rsidRPr="00243868" w:rsidRDefault="00507ACD" w:rsidP="00507ACD">
      <w:pPr>
        <w:ind w:left="567"/>
        <w:rPr>
          <w:i/>
          <w:iCs/>
        </w:rPr>
      </w:pPr>
    </w:p>
    <w:p w:rsidR="00647B91" w:rsidRDefault="00647B91" w:rsidP="00507ACD">
      <w:pPr>
        <w:spacing w:before="0" w:after="0"/>
      </w:pPr>
    </w:p>
    <w:p w:rsidR="003E6D5D" w:rsidRPr="00B23E55" w:rsidRDefault="003E6D5D" w:rsidP="00507ACD">
      <w:pPr>
        <w:spacing w:before="0" w:after="0"/>
      </w:pPr>
      <w:r w:rsidRPr="00B23E55">
        <w:t>(Complimentary close)</w:t>
      </w:r>
    </w:p>
    <w:p w:rsidR="003E6D5D" w:rsidRPr="0093260D" w:rsidRDefault="003E6D5D" w:rsidP="00507ACD">
      <w:pPr>
        <w:spacing w:before="0" w:after="0"/>
        <w:rPr>
          <w:sz w:val="16"/>
          <w:szCs w:val="16"/>
        </w:rPr>
      </w:pPr>
    </w:p>
    <w:p w:rsidR="00594531" w:rsidRDefault="003E6D5D" w:rsidP="00594531">
      <w:pPr>
        <w:tabs>
          <w:tab w:val="center" w:pos="7655"/>
          <w:tab w:val="right" w:pos="9639"/>
        </w:tabs>
        <w:spacing w:before="0" w:after="0"/>
        <w:rPr>
          <w:color w:val="000000"/>
        </w:rPr>
      </w:pPr>
      <w:r w:rsidRPr="00B23E55">
        <w:tab/>
        <w:t>(s.)</w:t>
      </w:r>
      <w:r w:rsidR="00594531" w:rsidRPr="00594531">
        <w:rPr>
          <w:color w:val="000000"/>
        </w:rPr>
        <w:t xml:space="preserve"> </w:t>
      </w:r>
      <w:r w:rsidR="00594531" w:rsidRPr="00243868">
        <w:rPr>
          <w:color w:val="000000"/>
        </w:rPr>
        <w:t xml:space="preserve">Dalia </w:t>
      </w:r>
      <w:proofErr w:type="spellStart"/>
      <w:r w:rsidR="00594531" w:rsidRPr="00243868">
        <w:rPr>
          <w:color w:val="000000"/>
        </w:rPr>
        <w:t>Grybauskaitė</w:t>
      </w:r>
      <w:proofErr w:type="spellEnd"/>
    </w:p>
    <w:p w:rsidR="00594531" w:rsidRDefault="00594531" w:rsidP="00594531">
      <w:pPr>
        <w:tabs>
          <w:tab w:val="center" w:pos="7655"/>
          <w:tab w:val="right" w:pos="9639"/>
        </w:tabs>
        <w:spacing w:before="0" w:after="0"/>
        <w:ind w:left="6946"/>
      </w:pPr>
      <w:r>
        <w:rPr>
          <w:color w:val="000000"/>
        </w:rPr>
        <w:t>President of the Republic</w:t>
      </w:r>
    </w:p>
    <w:p w:rsidR="003E6D5D" w:rsidRPr="00B23E55" w:rsidRDefault="003E6D5D" w:rsidP="00507ACD">
      <w:pPr>
        <w:tabs>
          <w:tab w:val="center" w:pos="7655"/>
          <w:tab w:val="right" w:pos="9639"/>
        </w:tabs>
        <w:spacing w:before="0" w:after="0"/>
        <w:jc w:val="right"/>
      </w:pPr>
    </w:p>
    <w:p w:rsidR="00F1626D" w:rsidRPr="00FA07D8" w:rsidRDefault="00F1626D" w:rsidP="00FA07D8">
      <w:pPr>
        <w:pStyle w:val="FinalLine"/>
      </w:pPr>
    </w:p>
    <w:sectPr w:rsidR="00F1626D" w:rsidRPr="00FA07D8" w:rsidSect="00AA15C8">
      <w:headerReference w:type="default" r:id="rId15"/>
      <w:footerReference w:type="default" r:id="rId1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FE" w:rsidRDefault="00A33DFE" w:rsidP="00D02758">
      <w:pPr>
        <w:spacing w:before="0" w:after="0" w:line="240" w:lineRule="auto"/>
      </w:pPr>
      <w:r>
        <w:separator/>
      </w:r>
    </w:p>
  </w:endnote>
  <w:endnote w:type="continuationSeparator" w:id="0">
    <w:p w:rsidR="00A33DFE" w:rsidRDefault="00A33DFE"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2F" w:rsidRPr="00AA15C8" w:rsidRDefault="000F332F" w:rsidP="00AA1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AA15C8" w:rsidRPr="00D94637" w:rsidTr="00AA15C8">
      <w:trPr>
        <w:jc w:val="center"/>
      </w:trPr>
      <w:tc>
        <w:tcPr>
          <w:tcW w:w="5000" w:type="pct"/>
          <w:gridSpan w:val="7"/>
          <w:shd w:val="clear" w:color="auto" w:fill="auto"/>
          <w:tcMar>
            <w:top w:w="57" w:type="dxa"/>
          </w:tcMar>
        </w:tcPr>
        <w:p w:rsidR="00AA15C8" w:rsidRPr="00D94637" w:rsidRDefault="00AA15C8" w:rsidP="00D94637">
          <w:pPr>
            <w:pStyle w:val="FooterText"/>
            <w:pBdr>
              <w:top w:val="single" w:sz="4" w:space="1" w:color="auto"/>
            </w:pBdr>
            <w:spacing w:before="200"/>
            <w:rPr>
              <w:sz w:val="2"/>
              <w:szCs w:val="2"/>
            </w:rPr>
          </w:pPr>
          <w:bookmarkStart w:id="2" w:name="FOOTER_STANDARD"/>
        </w:p>
      </w:tc>
    </w:tr>
    <w:tr w:rsidR="00AA15C8" w:rsidRPr="00B310DC" w:rsidTr="00AA15C8">
      <w:trPr>
        <w:jc w:val="center"/>
      </w:trPr>
      <w:tc>
        <w:tcPr>
          <w:tcW w:w="2500" w:type="pct"/>
          <w:gridSpan w:val="2"/>
          <w:shd w:val="clear" w:color="auto" w:fill="auto"/>
          <w:tcMar>
            <w:top w:w="0" w:type="dxa"/>
          </w:tcMar>
        </w:tcPr>
        <w:p w:rsidR="00AA15C8" w:rsidRPr="00AD7BF2" w:rsidRDefault="00AA15C8" w:rsidP="004F54B2">
          <w:pPr>
            <w:pStyle w:val="FooterText"/>
          </w:pPr>
          <w:r>
            <w:t>5899/15</w:t>
          </w:r>
          <w:r w:rsidRPr="002511D8">
            <w:t xml:space="preserve"> </w:t>
          </w:r>
        </w:p>
      </w:tc>
      <w:tc>
        <w:tcPr>
          <w:tcW w:w="625" w:type="pct"/>
          <w:shd w:val="clear" w:color="auto" w:fill="auto"/>
          <w:tcMar>
            <w:top w:w="0" w:type="dxa"/>
          </w:tcMar>
        </w:tcPr>
        <w:p w:rsidR="00AA15C8" w:rsidRPr="00AD7BF2" w:rsidRDefault="00AA15C8" w:rsidP="00D94637">
          <w:pPr>
            <w:pStyle w:val="FooterText"/>
            <w:jc w:val="center"/>
          </w:pPr>
        </w:p>
      </w:tc>
      <w:tc>
        <w:tcPr>
          <w:tcW w:w="1287" w:type="pct"/>
          <w:gridSpan w:val="3"/>
          <w:shd w:val="clear" w:color="auto" w:fill="auto"/>
          <w:tcMar>
            <w:top w:w="0" w:type="dxa"/>
          </w:tcMar>
        </w:tcPr>
        <w:p w:rsidR="00AA15C8" w:rsidRPr="002511D8" w:rsidRDefault="00AA15C8" w:rsidP="00D94637">
          <w:pPr>
            <w:pStyle w:val="FooterText"/>
            <w:jc w:val="center"/>
          </w:pPr>
          <w:r>
            <w:t>SC/</w:t>
          </w:r>
          <w:proofErr w:type="spellStart"/>
          <w:r>
            <w:t>mvk</w:t>
          </w:r>
          <w:proofErr w:type="spellEnd"/>
        </w:p>
      </w:tc>
      <w:tc>
        <w:tcPr>
          <w:tcW w:w="588" w:type="pct"/>
          <w:shd w:val="clear" w:color="auto" w:fill="auto"/>
          <w:tcMar>
            <w:top w:w="0" w:type="dxa"/>
          </w:tcMar>
        </w:tcPr>
        <w:p w:rsidR="00AA15C8" w:rsidRPr="00B310DC" w:rsidRDefault="00AA15C8" w:rsidP="00D94637">
          <w:pPr>
            <w:pStyle w:val="FooterText"/>
            <w:jc w:val="right"/>
          </w:pPr>
          <w:r>
            <w:fldChar w:fldCharType="begin"/>
          </w:r>
          <w:r>
            <w:instrText xml:space="preserve"> PAGE  \* MERGEFORMAT </w:instrText>
          </w:r>
          <w:r>
            <w:fldChar w:fldCharType="separate"/>
          </w:r>
          <w:r>
            <w:rPr>
              <w:noProof/>
            </w:rPr>
            <w:t>2</w:t>
          </w:r>
          <w:r>
            <w:fldChar w:fldCharType="end"/>
          </w:r>
        </w:p>
      </w:tc>
    </w:tr>
    <w:tr w:rsidR="00AA15C8" w:rsidRPr="00D94637" w:rsidTr="00AA15C8">
      <w:trPr>
        <w:jc w:val="center"/>
      </w:trPr>
      <w:tc>
        <w:tcPr>
          <w:tcW w:w="1774" w:type="pct"/>
          <w:shd w:val="clear" w:color="auto" w:fill="auto"/>
        </w:tcPr>
        <w:p w:rsidR="00AA15C8" w:rsidRPr="00AD7BF2" w:rsidRDefault="00AA15C8" w:rsidP="00D94637">
          <w:pPr>
            <w:pStyle w:val="FooterText"/>
            <w:spacing w:before="40"/>
          </w:pPr>
        </w:p>
      </w:tc>
      <w:tc>
        <w:tcPr>
          <w:tcW w:w="1455" w:type="pct"/>
          <w:gridSpan w:val="3"/>
          <w:shd w:val="clear" w:color="auto" w:fill="auto"/>
        </w:tcPr>
        <w:p w:rsidR="00AA15C8" w:rsidRPr="00AD7BF2" w:rsidRDefault="00AA15C8" w:rsidP="00D204D6">
          <w:pPr>
            <w:pStyle w:val="FooterText"/>
            <w:spacing w:before="40"/>
            <w:jc w:val="center"/>
          </w:pPr>
          <w:r>
            <w:t>DG D 2B</w:t>
          </w:r>
        </w:p>
      </w:tc>
      <w:tc>
        <w:tcPr>
          <w:tcW w:w="1147" w:type="pct"/>
          <w:shd w:val="clear" w:color="auto" w:fill="auto"/>
        </w:tcPr>
        <w:p w:rsidR="00AA15C8" w:rsidRPr="00D94637" w:rsidRDefault="00AA15C8" w:rsidP="00D94637">
          <w:pPr>
            <w:pStyle w:val="FooterText"/>
            <w:jc w:val="right"/>
            <w:rPr>
              <w:b/>
              <w:position w:val="-4"/>
              <w:sz w:val="36"/>
            </w:rPr>
          </w:pPr>
        </w:p>
      </w:tc>
      <w:tc>
        <w:tcPr>
          <w:tcW w:w="625" w:type="pct"/>
          <w:gridSpan w:val="2"/>
          <w:shd w:val="clear" w:color="auto" w:fill="auto"/>
        </w:tcPr>
        <w:p w:rsidR="00AA15C8" w:rsidRPr="00D94637" w:rsidRDefault="00AA15C8" w:rsidP="00D94637">
          <w:pPr>
            <w:pStyle w:val="FooterText"/>
            <w:jc w:val="right"/>
            <w:rPr>
              <w:sz w:val="16"/>
            </w:rPr>
          </w:pPr>
          <w:r>
            <w:rPr>
              <w:b/>
              <w:position w:val="-4"/>
              <w:sz w:val="36"/>
            </w:rPr>
            <w:t>EN</w:t>
          </w:r>
        </w:p>
      </w:tc>
    </w:tr>
    <w:bookmarkEnd w:id="2"/>
  </w:tbl>
  <w:p w:rsidR="009D0F20" w:rsidRPr="00AA15C8" w:rsidRDefault="009D0F20" w:rsidP="00AA15C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AA15C8" w:rsidRPr="00D94637" w:rsidTr="00AA15C8">
      <w:trPr>
        <w:jc w:val="center"/>
      </w:trPr>
      <w:tc>
        <w:tcPr>
          <w:tcW w:w="5000" w:type="pct"/>
          <w:gridSpan w:val="7"/>
          <w:shd w:val="clear" w:color="auto" w:fill="auto"/>
          <w:tcMar>
            <w:top w:w="57" w:type="dxa"/>
          </w:tcMar>
        </w:tcPr>
        <w:p w:rsidR="00AA15C8" w:rsidRPr="00D94637" w:rsidRDefault="00AA15C8" w:rsidP="00D94637">
          <w:pPr>
            <w:pStyle w:val="FooterText"/>
            <w:pBdr>
              <w:top w:val="single" w:sz="4" w:space="1" w:color="auto"/>
            </w:pBdr>
            <w:spacing w:before="200"/>
            <w:rPr>
              <w:sz w:val="2"/>
              <w:szCs w:val="2"/>
            </w:rPr>
          </w:pPr>
        </w:p>
      </w:tc>
    </w:tr>
    <w:tr w:rsidR="00AA15C8" w:rsidRPr="00B310DC" w:rsidTr="00AA15C8">
      <w:trPr>
        <w:jc w:val="center"/>
      </w:trPr>
      <w:tc>
        <w:tcPr>
          <w:tcW w:w="2500" w:type="pct"/>
          <w:gridSpan w:val="2"/>
          <w:shd w:val="clear" w:color="auto" w:fill="auto"/>
          <w:tcMar>
            <w:top w:w="0" w:type="dxa"/>
          </w:tcMar>
        </w:tcPr>
        <w:p w:rsidR="00AA15C8" w:rsidRPr="00AD7BF2" w:rsidRDefault="00AA15C8" w:rsidP="004F54B2">
          <w:pPr>
            <w:pStyle w:val="FooterText"/>
          </w:pPr>
          <w:r>
            <w:t>5899/15</w:t>
          </w:r>
          <w:r w:rsidRPr="002511D8">
            <w:t xml:space="preserve"> </w:t>
          </w:r>
        </w:p>
      </w:tc>
      <w:tc>
        <w:tcPr>
          <w:tcW w:w="625" w:type="pct"/>
          <w:shd w:val="clear" w:color="auto" w:fill="auto"/>
          <w:tcMar>
            <w:top w:w="0" w:type="dxa"/>
          </w:tcMar>
        </w:tcPr>
        <w:p w:rsidR="00AA15C8" w:rsidRPr="00AD7BF2" w:rsidRDefault="00AA15C8" w:rsidP="00D94637">
          <w:pPr>
            <w:pStyle w:val="FooterText"/>
            <w:jc w:val="center"/>
          </w:pPr>
        </w:p>
      </w:tc>
      <w:tc>
        <w:tcPr>
          <w:tcW w:w="1287" w:type="pct"/>
          <w:gridSpan w:val="3"/>
          <w:shd w:val="clear" w:color="auto" w:fill="auto"/>
          <w:tcMar>
            <w:top w:w="0" w:type="dxa"/>
          </w:tcMar>
        </w:tcPr>
        <w:p w:rsidR="00AA15C8" w:rsidRPr="002511D8" w:rsidRDefault="00AA15C8" w:rsidP="00D94637">
          <w:pPr>
            <w:pStyle w:val="FooterText"/>
            <w:jc w:val="center"/>
          </w:pPr>
          <w:r>
            <w:t>SC/</w:t>
          </w:r>
          <w:proofErr w:type="spellStart"/>
          <w:r>
            <w:t>mvk</w:t>
          </w:r>
          <w:proofErr w:type="spellEnd"/>
        </w:p>
      </w:tc>
      <w:tc>
        <w:tcPr>
          <w:tcW w:w="588" w:type="pct"/>
          <w:shd w:val="clear" w:color="auto" w:fill="auto"/>
          <w:tcMar>
            <w:top w:w="0" w:type="dxa"/>
          </w:tcMar>
        </w:tcPr>
        <w:p w:rsidR="00AA15C8" w:rsidRPr="00B310DC" w:rsidRDefault="00AA15C8"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AA15C8" w:rsidRPr="00D94637" w:rsidTr="00AA15C8">
      <w:trPr>
        <w:jc w:val="center"/>
      </w:trPr>
      <w:tc>
        <w:tcPr>
          <w:tcW w:w="1774" w:type="pct"/>
          <w:shd w:val="clear" w:color="auto" w:fill="auto"/>
        </w:tcPr>
        <w:p w:rsidR="00AA15C8" w:rsidRPr="00AD7BF2" w:rsidRDefault="00AA15C8" w:rsidP="00D94637">
          <w:pPr>
            <w:pStyle w:val="FooterText"/>
            <w:spacing w:before="40"/>
          </w:pPr>
        </w:p>
      </w:tc>
      <w:tc>
        <w:tcPr>
          <w:tcW w:w="1455" w:type="pct"/>
          <w:gridSpan w:val="3"/>
          <w:shd w:val="clear" w:color="auto" w:fill="auto"/>
        </w:tcPr>
        <w:p w:rsidR="00AA15C8" w:rsidRPr="00AD7BF2" w:rsidRDefault="00AA15C8" w:rsidP="00D204D6">
          <w:pPr>
            <w:pStyle w:val="FooterText"/>
            <w:spacing w:before="40"/>
            <w:jc w:val="center"/>
          </w:pPr>
          <w:r>
            <w:t>DG D 2B</w:t>
          </w:r>
        </w:p>
      </w:tc>
      <w:tc>
        <w:tcPr>
          <w:tcW w:w="1147" w:type="pct"/>
          <w:shd w:val="clear" w:color="auto" w:fill="auto"/>
        </w:tcPr>
        <w:p w:rsidR="00AA15C8" w:rsidRPr="00D94637" w:rsidRDefault="00AA15C8" w:rsidP="00D94637">
          <w:pPr>
            <w:pStyle w:val="FooterText"/>
            <w:jc w:val="right"/>
            <w:rPr>
              <w:b/>
              <w:position w:val="-4"/>
              <w:sz w:val="36"/>
            </w:rPr>
          </w:pPr>
        </w:p>
      </w:tc>
      <w:tc>
        <w:tcPr>
          <w:tcW w:w="625" w:type="pct"/>
          <w:gridSpan w:val="2"/>
          <w:shd w:val="clear" w:color="auto" w:fill="auto"/>
        </w:tcPr>
        <w:p w:rsidR="00AA15C8" w:rsidRPr="00D94637" w:rsidRDefault="00AA15C8" w:rsidP="00D94637">
          <w:pPr>
            <w:pStyle w:val="FooterText"/>
            <w:jc w:val="right"/>
            <w:rPr>
              <w:sz w:val="16"/>
            </w:rPr>
          </w:pPr>
          <w:r>
            <w:rPr>
              <w:b/>
              <w:position w:val="-4"/>
              <w:sz w:val="36"/>
            </w:rPr>
            <w:t>EN</w:t>
          </w:r>
        </w:p>
      </w:tc>
    </w:tr>
  </w:tbl>
  <w:p w:rsidR="000F7619" w:rsidRPr="00AA15C8" w:rsidRDefault="000F7619" w:rsidP="00AA15C8">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AA15C8" w:rsidRPr="00D94637" w:rsidTr="00AA15C8">
      <w:trPr>
        <w:jc w:val="center"/>
      </w:trPr>
      <w:tc>
        <w:tcPr>
          <w:tcW w:w="5000" w:type="pct"/>
          <w:gridSpan w:val="7"/>
          <w:shd w:val="clear" w:color="auto" w:fill="auto"/>
          <w:tcMar>
            <w:top w:w="57" w:type="dxa"/>
          </w:tcMar>
        </w:tcPr>
        <w:p w:rsidR="00AA15C8" w:rsidRPr="00D94637" w:rsidRDefault="00AA15C8" w:rsidP="00D94637">
          <w:pPr>
            <w:pStyle w:val="FooterText"/>
            <w:pBdr>
              <w:top w:val="single" w:sz="4" w:space="1" w:color="auto"/>
            </w:pBdr>
            <w:spacing w:before="200"/>
            <w:rPr>
              <w:sz w:val="2"/>
              <w:szCs w:val="2"/>
            </w:rPr>
          </w:pPr>
        </w:p>
      </w:tc>
    </w:tr>
    <w:tr w:rsidR="00AA15C8" w:rsidRPr="00B310DC" w:rsidTr="00AA15C8">
      <w:trPr>
        <w:jc w:val="center"/>
      </w:trPr>
      <w:tc>
        <w:tcPr>
          <w:tcW w:w="2500" w:type="pct"/>
          <w:gridSpan w:val="2"/>
          <w:shd w:val="clear" w:color="auto" w:fill="auto"/>
          <w:tcMar>
            <w:top w:w="0" w:type="dxa"/>
          </w:tcMar>
        </w:tcPr>
        <w:p w:rsidR="00AA15C8" w:rsidRPr="00AD7BF2" w:rsidRDefault="00AA15C8" w:rsidP="004F54B2">
          <w:pPr>
            <w:pStyle w:val="FooterText"/>
          </w:pPr>
          <w:r>
            <w:t>5899/15</w:t>
          </w:r>
          <w:r w:rsidRPr="002511D8">
            <w:t xml:space="preserve"> </w:t>
          </w:r>
        </w:p>
      </w:tc>
      <w:tc>
        <w:tcPr>
          <w:tcW w:w="625" w:type="pct"/>
          <w:shd w:val="clear" w:color="auto" w:fill="auto"/>
          <w:tcMar>
            <w:top w:w="0" w:type="dxa"/>
          </w:tcMar>
        </w:tcPr>
        <w:p w:rsidR="00AA15C8" w:rsidRPr="00AD7BF2" w:rsidRDefault="00AA15C8" w:rsidP="00D94637">
          <w:pPr>
            <w:pStyle w:val="FooterText"/>
            <w:jc w:val="center"/>
          </w:pPr>
        </w:p>
      </w:tc>
      <w:tc>
        <w:tcPr>
          <w:tcW w:w="1287" w:type="pct"/>
          <w:gridSpan w:val="3"/>
          <w:shd w:val="clear" w:color="auto" w:fill="auto"/>
          <w:tcMar>
            <w:top w:w="0" w:type="dxa"/>
          </w:tcMar>
        </w:tcPr>
        <w:p w:rsidR="00AA15C8" w:rsidRPr="002511D8" w:rsidRDefault="00AA15C8" w:rsidP="00D94637">
          <w:pPr>
            <w:pStyle w:val="FooterText"/>
            <w:jc w:val="center"/>
          </w:pPr>
          <w:r>
            <w:t>SC/</w:t>
          </w:r>
          <w:proofErr w:type="spellStart"/>
          <w:r>
            <w:t>mvk</w:t>
          </w:r>
          <w:proofErr w:type="spellEnd"/>
        </w:p>
      </w:tc>
      <w:tc>
        <w:tcPr>
          <w:tcW w:w="588" w:type="pct"/>
          <w:shd w:val="clear" w:color="auto" w:fill="auto"/>
          <w:tcMar>
            <w:top w:w="0" w:type="dxa"/>
          </w:tcMar>
        </w:tcPr>
        <w:p w:rsidR="00AA15C8" w:rsidRPr="00B310DC" w:rsidRDefault="00AA15C8" w:rsidP="00D94637">
          <w:pPr>
            <w:pStyle w:val="FooterText"/>
            <w:jc w:val="right"/>
          </w:pPr>
          <w:r>
            <w:fldChar w:fldCharType="begin"/>
          </w:r>
          <w:r>
            <w:instrText xml:space="preserve"> PAGE  \* MERGEFORMAT </w:instrText>
          </w:r>
          <w:r>
            <w:fldChar w:fldCharType="separate"/>
          </w:r>
          <w:r>
            <w:rPr>
              <w:noProof/>
            </w:rPr>
            <w:t>4</w:t>
          </w:r>
          <w:r>
            <w:fldChar w:fldCharType="end"/>
          </w:r>
        </w:p>
      </w:tc>
    </w:tr>
    <w:tr w:rsidR="00AA15C8" w:rsidRPr="00D94637" w:rsidTr="00AA15C8">
      <w:trPr>
        <w:jc w:val="center"/>
      </w:trPr>
      <w:tc>
        <w:tcPr>
          <w:tcW w:w="1774" w:type="pct"/>
          <w:shd w:val="clear" w:color="auto" w:fill="auto"/>
        </w:tcPr>
        <w:p w:rsidR="00AA15C8" w:rsidRPr="00AD7BF2" w:rsidRDefault="00AA15C8" w:rsidP="00D94637">
          <w:pPr>
            <w:pStyle w:val="FooterText"/>
            <w:spacing w:before="40"/>
          </w:pPr>
          <w:r>
            <w:t>ANNEX</w:t>
          </w:r>
        </w:p>
      </w:tc>
      <w:tc>
        <w:tcPr>
          <w:tcW w:w="1455" w:type="pct"/>
          <w:gridSpan w:val="3"/>
          <w:shd w:val="clear" w:color="auto" w:fill="auto"/>
        </w:tcPr>
        <w:p w:rsidR="00AA15C8" w:rsidRPr="00AD7BF2" w:rsidRDefault="00AA15C8" w:rsidP="00D204D6">
          <w:pPr>
            <w:pStyle w:val="FooterText"/>
            <w:spacing w:before="40"/>
            <w:jc w:val="center"/>
          </w:pPr>
          <w:r>
            <w:t>DG D 2B</w:t>
          </w:r>
        </w:p>
      </w:tc>
      <w:tc>
        <w:tcPr>
          <w:tcW w:w="1147" w:type="pct"/>
          <w:shd w:val="clear" w:color="auto" w:fill="auto"/>
        </w:tcPr>
        <w:p w:rsidR="00AA15C8" w:rsidRPr="00D94637" w:rsidRDefault="00AA15C8" w:rsidP="00D94637">
          <w:pPr>
            <w:pStyle w:val="FooterText"/>
            <w:jc w:val="right"/>
            <w:rPr>
              <w:b/>
              <w:position w:val="-4"/>
              <w:sz w:val="36"/>
            </w:rPr>
          </w:pPr>
        </w:p>
      </w:tc>
      <w:tc>
        <w:tcPr>
          <w:tcW w:w="625" w:type="pct"/>
          <w:gridSpan w:val="2"/>
          <w:shd w:val="clear" w:color="auto" w:fill="auto"/>
        </w:tcPr>
        <w:p w:rsidR="00AA15C8" w:rsidRPr="00D94637" w:rsidRDefault="00AA15C8" w:rsidP="00D94637">
          <w:pPr>
            <w:pStyle w:val="FooterText"/>
            <w:jc w:val="right"/>
            <w:rPr>
              <w:sz w:val="16"/>
            </w:rPr>
          </w:pPr>
          <w:r>
            <w:rPr>
              <w:b/>
              <w:position w:val="-4"/>
              <w:sz w:val="36"/>
            </w:rPr>
            <w:t>EN</w:t>
          </w:r>
        </w:p>
      </w:tc>
    </w:tr>
  </w:tbl>
  <w:p w:rsidR="002E4199" w:rsidRPr="00AA15C8" w:rsidRDefault="002E4199" w:rsidP="00AA15C8">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FE" w:rsidRDefault="00A33DFE" w:rsidP="00D02758">
      <w:pPr>
        <w:spacing w:before="0" w:after="0" w:line="240" w:lineRule="auto"/>
      </w:pPr>
      <w:r>
        <w:separator/>
      </w:r>
    </w:p>
  </w:footnote>
  <w:footnote w:type="continuationSeparator" w:id="0">
    <w:p w:rsidR="00A33DFE" w:rsidRDefault="00A33DFE"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2F" w:rsidRPr="00AA15C8" w:rsidRDefault="000F332F" w:rsidP="00AA1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2F" w:rsidRPr="00AA15C8" w:rsidRDefault="000F332F" w:rsidP="00AA15C8">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2F" w:rsidRPr="00AA15C8" w:rsidRDefault="000F332F" w:rsidP="00AA15C8">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AA15C8" w:rsidRDefault="00FF01C5" w:rsidP="00AA1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list_Path" w:val="\\at100\user\WK\SEILEG\DocuWrite\Copylist"/>
    <w:docVar w:name="Council" w:val="true"/>
    <w:docVar w:name="DocuWriteMetaData" w:val="&lt;metadataset docuwriteversion=&quot;3.4.3&quot; technicalblockguid=&quot;cbf8a775-2939-490e-a64e-e2acade12ec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2-04&lt;/text&gt;_x000d__x000a_  &lt;/metadata&gt;_x000d__x000a_  &lt;metadata key=&quot;md_Prefix&quot;&gt;_x000d__x000a_    &lt;text&gt;&lt;/text&gt;_x000d__x000a_  &lt;/metadata&gt;_x000d__x000a_  &lt;metadata key=&quot;md_DocumentNumber&quot;&gt;_x000d__x000a_    &lt;text&gt;5899&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29&lt;/text&gt;_x000d__x000a_      &lt;text&gt;EUROJUST 25&lt;/text&gt;_x000d__x000a_      &lt;text&gt;EJN 1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text&gt;Mr Raimundas Karoblis, Ambassador, Permanent Representative, Permanent Representation of Lithuania to the European Union&lt;/text&gt;_x000d__x000a_    &lt;/basicdatatype&gt;_x000d__x000a_  &lt;/metadata&gt;_x000d__x000a_  &lt;metadata key=&quot;md_Recipient&quot;&gt;_x000d__x000a_    &lt;basicdatatype&gt;_x000d__x000a_      &lt;text&gt;Mr Rafael Fernández-Pita y González, Director-General, Council of the European Union&lt;/text&gt;_x000d__x000a_    &lt;/basicdatatype&gt;_x000d__x000a_  &lt;/metadata&gt;_x000d__x000a_  &lt;metadata key=&quot;md_DateOfReceipt&quot;&gt;_x000d__x000a_    &lt;text&gt;&lt;/text&gt;_x000d__x000a_  &lt;/metadata&gt;_x000d__x000a_  &lt;metadata key=&quot;md_FreeDate&quot;&gt;_x000d__x000a_    &lt;textlist&gt;_x000d__x000a_      &lt;text&gt;2014-12-17&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mplementation of the Council Framework Decision 2009/948/JHA on prevention and settlement of conflicts of exercise of jurisdiction in criminal proceedings -  Notification by the Republic of Lithuania&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amp;gt;&amp;lt;Run xml:lang=&quot;fr-be&quot;&amp;gt;Implementation of the Council Framework Decision 2009/948/JHA on prevention and settlement of conflicts of exercise of jurisdiction in criminal proceedings&amp;lt;/Run&amp;gt;&amp;lt;/Paragraph&amp;gt;&amp;lt;Paragraph&amp;gt;&amp;lt;Run xml:lang=&quot;fr-be&quot; xml:space=&quot;preserve&quot;&amp;gt;-  Notification by the Republic of Lithuania&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D02758"/>
    <w:rsid w:val="0002414A"/>
    <w:rsid w:val="000303CC"/>
    <w:rsid w:val="000545E1"/>
    <w:rsid w:val="00064606"/>
    <w:rsid w:val="00071F5F"/>
    <w:rsid w:val="000737B9"/>
    <w:rsid w:val="00074797"/>
    <w:rsid w:val="000A52DD"/>
    <w:rsid w:val="000B4662"/>
    <w:rsid w:val="000D4545"/>
    <w:rsid w:val="000E7F3A"/>
    <w:rsid w:val="000F332F"/>
    <w:rsid w:val="000F4EFF"/>
    <w:rsid w:val="000F7619"/>
    <w:rsid w:val="00102F25"/>
    <w:rsid w:val="0011248E"/>
    <w:rsid w:val="001505FB"/>
    <w:rsid w:val="001737A2"/>
    <w:rsid w:val="00182F2F"/>
    <w:rsid w:val="001C612F"/>
    <w:rsid w:val="001F6926"/>
    <w:rsid w:val="0020032B"/>
    <w:rsid w:val="00223499"/>
    <w:rsid w:val="0023445E"/>
    <w:rsid w:val="00266A9D"/>
    <w:rsid w:val="0027551F"/>
    <w:rsid w:val="00276362"/>
    <w:rsid w:val="002951EE"/>
    <w:rsid w:val="002A5A92"/>
    <w:rsid w:val="002B083C"/>
    <w:rsid w:val="002D15FF"/>
    <w:rsid w:val="002D4272"/>
    <w:rsid w:val="002E4199"/>
    <w:rsid w:val="002F41F5"/>
    <w:rsid w:val="003100D0"/>
    <w:rsid w:val="00334285"/>
    <w:rsid w:val="00356F5F"/>
    <w:rsid w:val="0037119F"/>
    <w:rsid w:val="003810E2"/>
    <w:rsid w:val="00386C9D"/>
    <w:rsid w:val="00387D3A"/>
    <w:rsid w:val="00390381"/>
    <w:rsid w:val="003A535B"/>
    <w:rsid w:val="003B4D72"/>
    <w:rsid w:val="003C6FE6"/>
    <w:rsid w:val="003E26C2"/>
    <w:rsid w:val="003E6D5D"/>
    <w:rsid w:val="00414945"/>
    <w:rsid w:val="004366A6"/>
    <w:rsid w:val="00457B7B"/>
    <w:rsid w:val="00460F85"/>
    <w:rsid w:val="004852B5"/>
    <w:rsid w:val="004B3BCC"/>
    <w:rsid w:val="00507ACD"/>
    <w:rsid w:val="00513523"/>
    <w:rsid w:val="00551006"/>
    <w:rsid w:val="00561B77"/>
    <w:rsid w:val="00567C03"/>
    <w:rsid w:val="00594531"/>
    <w:rsid w:val="005A6805"/>
    <w:rsid w:val="005D1CB1"/>
    <w:rsid w:val="005F6F7E"/>
    <w:rsid w:val="006154E1"/>
    <w:rsid w:val="00625999"/>
    <w:rsid w:val="0063363E"/>
    <w:rsid w:val="006351BB"/>
    <w:rsid w:val="00647B91"/>
    <w:rsid w:val="00651D90"/>
    <w:rsid w:val="006564E9"/>
    <w:rsid w:val="006717C9"/>
    <w:rsid w:val="006C1F2A"/>
    <w:rsid w:val="006E2E5E"/>
    <w:rsid w:val="007122D8"/>
    <w:rsid w:val="007126D1"/>
    <w:rsid w:val="007161AD"/>
    <w:rsid w:val="0073737C"/>
    <w:rsid w:val="00740021"/>
    <w:rsid w:val="007A59A3"/>
    <w:rsid w:val="007B09B1"/>
    <w:rsid w:val="007B0C89"/>
    <w:rsid w:val="007D62BB"/>
    <w:rsid w:val="007E01C6"/>
    <w:rsid w:val="007F4136"/>
    <w:rsid w:val="0081560B"/>
    <w:rsid w:val="008314C1"/>
    <w:rsid w:val="0083182F"/>
    <w:rsid w:val="0087513A"/>
    <w:rsid w:val="008A33CC"/>
    <w:rsid w:val="00901450"/>
    <w:rsid w:val="009248BE"/>
    <w:rsid w:val="0097796D"/>
    <w:rsid w:val="00983182"/>
    <w:rsid w:val="009B07D1"/>
    <w:rsid w:val="009D0F20"/>
    <w:rsid w:val="009F62E1"/>
    <w:rsid w:val="00A03EF2"/>
    <w:rsid w:val="00A0562E"/>
    <w:rsid w:val="00A30641"/>
    <w:rsid w:val="00A33DFE"/>
    <w:rsid w:val="00A56CED"/>
    <w:rsid w:val="00A825F6"/>
    <w:rsid w:val="00A90B44"/>
    <w:rsid w:val="00AA15C8"/>
    <w:rsid w:val="00AF3113"/>
    <w:rsid w:val="00B54F86"/>
    <w:rsid w:val="00BB32F3"/>
    <w:rsid w:val="00BE21E8"/>
    <w:rsid w:val="00BE3E25"/>
    <w:rsid w:val="00BE6E3D"/>
    <w:rsid w:val="00C20EAF"/>
    <w:rsid w:val="00C378A2"/>
    <w:rsid w:val="00C76881"/>
    <w:rsid w:val="00C82E40"/>
    <w:rsid w:val="00CA105F"/>
    <w:rsid w:val="00CA45AE"/>
    <w:rsid w:val="00CA5D05"/>
    <w:rsid w:val="00CD3CD3"/>
    <w:rsid w:val="00D02758"/>
    <w:rsid w:val="00D13316"/>
    <w:rsid w:val="00D466F4"/>
    <w:rsid w:val="00D72671"/>
    <w:rsid w:val="00D80C16"/>
    <w:rsid w:val="00DB22B6"/>
    <w:rsid w:val="00DE3D0B"/>
    <w:rsid w:val="00E110CA"/>
    <w:rsid w:val="00E117E6"/>
    <w:rsid w:val="00E1247A"/>
    <w:rsid w:val="00E156B3"/>
    <w:rsid w:val="00E33E2D"/>
    <w:rsid w:val="00E454E3"/>
    <w:rsid w:val="00E5767B"/>
    <w:rsid w:val="00E71C96"/>
    <w:rsid w:val="00E75AF7"/>
    <w:rsid w:val="00E91140"/>
    <w:rsid w:val="00EE3E2D"/>
    <w:rsid w:val="00F1626D"/>
    <w:rsid w:val="00F463B9"/>
    <w:rsid w:val="00F562C3"/>
    <w:rsid w:val="00F86DEA"/>
    <w:rsid w:val="00F951E0"/>
    <w:rsid w:val="00FA07D8"/>
    <w:rsid w:val="00FC4670"/>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
    <w:rsid w:val="00D02758"/>
    <w:pPr>
      <w:spacing w:before="0" w:after="0" w:line="240" w:lineRule="auto"/>
    </w:pPr>
  </w:style>
  <w:style w:type="paragraph" w:styleId="ListParagraph">
    <w:name w:val="List Paragraph"/>
    <w:basedOn w:val="Normal"/>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BalloonText">
    <w:name w:val="Balloon Text"/>
    <w:basedOn w:val="Normal"/>
    <w:link w:val="BalloonTextChar"/>
    <w:uiPriority w:val="99"/>
    <w:semiHidden/>
    <w:unhideWhenUsed/>
    <w:rsid w:val="00561B7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61B77"/>
    <w:rPr>
      <w:rFonts w:ascii="Tahoma" w:hAnsi="Tahoma" w:cs="Tahoma"/>
      <w:sz w:val="16"/>
      <w:szCs w:val="16"/>
      <w:lang w:val="en-GB" w:eastAsia="en-US"/>
    </w:rPr>
  </w:style>
  <w:style w:type="character" w:styleId="Hyperlink">
    <w:name w:val="Hyperlink"/>
    <w:uiPriority w:val="99"/>
    <w:unhideWhenUsed/>
    <w:rsid w:val="00E911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DW_COUNCIL.dotm</Template>
  <TotalTime>1</TotalTime>
  <Pages>4</Pages>
  <Words>644</Words>
  <Characters>3858</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4460</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KAIRIS Maria</cp:lastModifiedBy>
  <cp:revision>4</cp:revision>
  <cp:lastPrinted>2015-02-04T14:43:00Z</cp:lastPrinted>
  <dcterms:created xsi:type="dcterms:W3CDTF">2015-02-04T14:41:00Z</dcterms:created>
  <dcterms:modified xsi:type="dcterms:W3CDTF">2015-02-04T14:43:00Z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3.4.3, Build 20150129</vt:lpwstr>
  </property>
</Properties>
</file>