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02" w:rsidRPr="00127000" w:rsidRDefault="00A32D02" w:rsidP="00C93801">
      <w:pPr>
        <w:pStyle w:val="mjtekst"/>
        <w:jc w:val="right"/>
        <w:rPr>
          <w:b/>
          <w:szCs w:val="24"/>
          <w:u w:val="single"/>
        </w:rPr>
      </w:pPr>
    </w:p>
    <w:p w:rsidR="00B918A9" w:rsidRPr="00127000" w:rsidRDefault="00B918A9" w:rsidP="00C93801">
      <w:pPr>
        <w:pStyle w:val="mjtekst"/>
        <w:jc w:val="center"/>
        <w:rPr>
          <w:b/>
          <w:szCs w:val="24"/>
        </w:rPr>
      </w:pPr>
      <w:r w:rsidRPr="00127000">
        <w:rPr>
          <w:b/>
          <w:szCs w:val="24"/>
        </w:rPr>
        <w:t>Załącznik</w:t>
      </w:r>
      <w:r w:rsidR="008400BC">
        <w:rPr>
          <w:b/>
          <w:szCs w:val="24"/>
        </w:rPr>
        <w:t xml:space="preserve"> do</w:t>
      </w:r>
    </w:p>
    <w:p w:rsidR="00B918A9" w:rsidRPr="00127000" w:rsidRDefault="00B918A9" w:rsidP="00C93801">
      <w:pPr>
        <w:pStyle w:val="mjtekst"/>
        <w:jc w:val="center"/>
        <w:rPr>
          <w:b/>
          <w:szCs w:val="24"/>
        </w:rPr>
      </w:pPr>
      <w:r w:rsidRPr="00127000">
        <w:rPr>
          <w:b/>
          <w:szCs w:val="24"/>
        </w:rPr>
        <w:t>VI</w:t>
      </w:r>
      <w:r w:rsidR="008400BC">
        <w:rPr>
          <w:b/>
          <w:szCs w:val="24"/>
        </w:rPr>
        <w:t>I Sprawozdania</w:t>
      </w:r>
      <w:r w:rsidRPr="00127000">
        <w:rPr>
          <w:b/>
          <w:szCs w:val="24"/>
        </w:rPr>
        <w:t xml:space="preserve"> Okresowe</w:t>
      </w:r>
      <w:r w:rsidR="008400BC">
        <w:rPr>
          <w:b/>
          <w:szCs w:val="24"/>
        </w:rPr>
        <w:t>go</w:t>
      </w:r>
      <w:r w:rsidRPr="00127000">
        <w:rPr>
          <w:b/>
          <w:szCs w:val="24"/>
        </w:rPr>
        <w:t xml:space="preserve"> Rzeczypospolitej Polskiej</w:t>
      </w:r>
    </w:p>
    <w:p w:rsidR="00B918A9" w:rsidRPr="00127000" w:rsidRDefault="00B918A9" w:rsidP="00C93801">
      <w:pPr>
        <w:pStyle w:val="mjtekst"/>
        <w:jc w:val="center"/>
        <w:rPr>
          <w:b/>
          <w:szCs w:val="24"/>
        </w:rPr>
      </w:pPr>
      <w:r w:rsidRPr="00127000">
        <w:rPr>
          <w:b/>
          <w:szCs w:val="24"/>
        </w:rPr>
        <w:t xml:space="preserve">z realizacji postanowień </w:t>
      </w:r>
    </w:p>
    <w:p w:rsidR="00FF00A7" w:rsidRDefault="00B918A9" w:rsidP="00C93801">
      <w:pPr>
        <w:pStyle w:val="mjtekst"/>
        <w:jc w:val="center"/>
        <w:rPr>
          <w:b/>
          <w:szCs w:val="24"/>
        </w:rPr>
      </w:pPr>
      <w:r w:rsidRPr="00127000">
        <w:rPr>
          <w:b/>
          <w:szCs w:val="24"/>
        </w:rPr>
        <w:t>Międzynarodowego Paktu Praw Obywatelskich i Politycznych</w:t>
      </w:r>
      <w:r w:rsidR="00FF00A7">
        <w:rPr>
          <w:b/>
          <w:szCs w:val="24"/>
        </w:rPr>
        <w:t xml:space="preserve"> </w:t>
      </w:r>
    </w:p>
    <w:p w:rsidR="00645187" w:rsidRPr="00127000" w:rsidRDefault="00645187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3EA" w:rsidRPr="008F00B8" w:rsidRDefault="008F00B8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 p</w:t>
      </w:r>
      <w:r w:rsidR="002257FC">
        <w:rPr>
          <w:rFonts w:ascii="Times New Roman" w:hAnsi="Times New Roman" w:cs="Times New Roman"/>
          <w:b/>
          <w:sz w:val="24"/>
          <w:szCs w:val="24"/>
          <w:u w:val="single"/>
        </w:rPr>
        <w:t>ar. 12</w:t>
      </w:r>
    </w:p>
    <w:p w:rsidR="000C7174" w:rsidRPr="00127000" w:rsidRDefault="00FF4B42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Wybrane orzeczenia</w:t>
      </w:r>
      <w:r w:rsidR="00323DDC" w:rsidRPr="00127000">
        <w:rPr>
          <w:rFonts w:ascii="Times New Roman" w:hAnsi="Times New Roman" w:cs="Times New Roman"/>
          <w:b/>
          <w:sz w:val="24"/>
          <w:szCs w:val="24"/>
        </w:rPr>
        <w:t xml:space="preserve"> zawierające odwołania do Paktu</w:t>
      </w:r>
    </w:p>
    <w:p w:rsidR="007D0181" w:rsidRPr="00127000" w:rsidRDefault="00302504" w:rsidP="00C9380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00">
        <w:rPr>
          <w:rFonts w:ascii="Times New Roman" w:eastAsia="Calibri" w:hAnsi="Times New Roman" w:cs="Times New Roman"/>
          <w:sz w:val="24"/>
          <w:szCs w:val="24"/>
        </w:rPr>
        <w:t>Sąd Najwyższy</w:t>
      </w:r>
      <w:r w:rsidR="00647566" w:rsidRPr="0012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7000">
        <w:rPr>
          <w:rFonts w:ascii="Times New Roman" w:eastAsia="Calibri" w:hAnsi="Times New Roman" w:cs="Times New Roman"/>
          <w:bCs/>
          <w:sz w:val="24"/>
          <w:szCs w:val="24"/>
        </w:rPr>
        <w:t>w wyroku z</w:t>
      </w:r>
      <w:r w:rsidR="00F05FB8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dnia 4 października 2012 r. (s</w:t>
      </w:r>
      <w:r w:rsidR="007D0181" w:rsidRPr="00127000">
        <w:rPr>
          <w:rFonts w:ascii="Times New Roman" w:eastAsia="Calibri" w:hAnsi="Times New Roman" w:cs="Times New Roman"/>
          <w:bCs/>
          <w:sz w:val="24"/>
          <w:szCs w:val="24"/>
        </w:rPr>
        <w:t>ygn. I CSK 124/12)</w:t>
      </w:r>
      <w:r w:rsidR="00DC6686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>przy określaniu granic korzystania z woln</w:t>
      </w:r>
      <w:r w:rsidR="00ED3015" w:rsidRPr="00127000">
        <w:rPr>
          <w:rFonts w:ascii="Times New Roman" w:eastAsia="Calibri" w:hAnsi="Times New Roman" w:cs="Times New Roman"/>
          <w:sz w:val="24"/>
          <w:szCs w:val="24"/>
        </w:rPr>
        <w:t>ości wyrażania opinii Sąd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 powołał się m.in. na art. 19 ust. 3 </w:t>
      </w:r>
      <w:r w:rsidR="0089447B" w:rsidRPr="00127000">
        <w:rPr>
          <w:rFonts w:ascii="Times New Roman" w:eastAsia="Calibri" w:hAnsi="Times New Roman" w:cs="Times New Roman"/>
          <w:sz w:val="24"/>
          <w:szCs w:val="24"/>
        </w:rPr>
        <w:t>Paktu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3FA8" w:rsidRPr="00127000" w:rsidRDefault="00423FA8" w:rsidP="00C9380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181" w:rsidRPr="00127000" w:rsidRDefault="00E5387B" w:rsidP="00C9380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00">
        <w:rPr>
          <w:rFonts w:ascii="Times New Roman" w:eastAsia="Calibri" w:hAnsi="Times New Roman" w:cs="Times New Roman"/>
          <w:sz w:val="24"/>
          <w:szCs w:val="24"/>
        </w:rPr>
        <w:t>S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ąd Apelacyjny w Warszawie  w wyroku </w:t>
      </w:r>
      <w:r w:rsidR="007D0181" w:rsidRPr="00127000">
        <w:rPr>
          <w:rFonts w:ascii="Times New Roman" w:eastAsia="Calibri" w:hAnsi="Times New Roman" w:cs="Times New Roman"/>
          <w:bCs/>
          <w:sz w:val="24"/>
          <w:szCs w:val="24"/>
        </w:rPr>
        <w:t>z dnia</w:t>
      </w:r>
      <w:r w:rsidR="000448E6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21 listopada 2012 r.</w:t>
      </w:r>
      <w:r w:rsidR="007D0181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(sygn. II AKa 335/12)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2C4" w:rsidRPr="00127000">
        <w:rPr>
          <w:rFonts w:ascii="Times New Roman" w:eastAsia="Calibri" w:hAnsi="Times New Roman" w:cs="Times New Roman"/>
          <w:sz w:val="24"/>
          <w:szCs w:val="24"/>
        </w:rPr>
        <w:t>powołał</w:t>
      </w:r>
      <w:r w:rsidR="000B25CF" w:rsidRPr="00127000">
        <w:rPr>
          <w:rFonts w:ascii="Times New Roman" w:eastAsia="Calibri" w:hAnsi="Times New Roman" w:cs="Times New Roman"/>
          <w:sz w:val="24"/>
          <w:szCs w:val="24"/>
        </w:rPr>
        <w:t xml:space="preserve"> się na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 art. 14 ust. 3  </w:t>
      </w:r>
      <w:r w:rsidR="00D12C33" w:rsidRPr="00127000">
        <w:rPr>
          <w:rFonts w:ascii="Times New Roman" w:eastAsia="Calibri" w:hAnsi="Times New Roman" w:cs="Times New Roman"/>
          <w:sz w:val="24"/>
          <w:szCs w:val="24"/>
        </w:rPr>
        <w:t>Paktu</w:t>
      </w:r>
      <w:r w:rsidR="000B25CF" w:rsidRPr="00127000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B30FB8" w:rsidRPr="00127000">
        <w:rPr>
          <w:rFonts w:ascii="Times New Roman" w:eastAsia="Calibri" w:hAnsi="Times New Roman" w:cs="Times New Roman"/>
          <w:sz w:val="24"/>
          <w:szCs w:val="24"/>
        </w:rPr>
        <w:t xml:space="preserve">swych </w:t>
      </w:r>
      <w:r w:rsidR="000B25CF" w:rsidRPr="00127000">
        <w:rPr>
          <w:rFonts w:ascii="Times New Roman" w:eastAsia="Calibri" w:hAnsi="Times New Roman" w:cs="Times New Roman"/>
          <w:sz w:val="24"/>
          <w:szCs w:val="24"/>
        </w:rPr>
        <w:t xml:space="preserve">rozważaniach </w:t>
      </w:r>
      <w:r w:rsidR="0037778C" w:rsidRPr="00127000">
        <w:rPr>
          <w:rFonts w:ascii="Times New Roman" w:eastAsia="Calibri" w:hAnsi="Times New Roman" w:cs="Times New Roman"/>
          <w:sz w:val="24"/>
          <w:szCs w:val="24"/>
        </w:rPr>
        <w:t xml:space="preserve">na temat </w:t>
      </w:r>
      <w:r w:rsidR="0046331E" w:rsidRPr="00127000">
        <w:rPr>
          <w:rFonts w:ascii="Times New Roman" w:eastAsia="Calibri" w:hAnsi="Times New Roman" w:cs="Times New Roman"/>
          <w:sz w:val="24"/>
          <w:szCs w:val="24"/>
        </w:rPr>
        <w:t xml:space="preserve">minimum uprawnień procesowych przysługujących </w:t>
      </w:r>
      <w:r w:rsidR="00BB0346" w:rsidRPr="00127000">
        <w:rPr>
          <w:rFonts w:ascii="Times New Roman" w:eastAsia="Calibri" w:hAnsi="Times New Roman" w:cs="Times New Roman"/>
          <w:sz w:val="24"/>
          <w:szCs w:val="24"/>
        </w:rPr>
        <w:t>oskarżonemu</w:t>
      </w:r>
      <w:r w:rsidR="00AD408A" w:rsidRPr="0012700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5A0D" w:rsidRPr="00127000" w:rsidRDefault="00825A0D" w:rsidP="00C9380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6826" w:rsidRPr="00127000" w:rsidRDefault="00B865C3" w:rsidP="00C9380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00">
        <w:rPr>
          <w:rFonts w:ascii="Times New Roman" w:eastAsia="Calibri" w:hAnsi="Times New Roman" w:cs="Times New Roman"/>
          <w:bCs/>
          <w:sz w:val="24"/>
          <w:szCs w:val="24"/>
        </w:rPr>
        <w:t>Sąd</w:t>
      </w:r>
      <w:r w:rsidR="00825A0D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Najwyższy w uchwale </w:t>
      </w:r>
      <w:r w:rsidR="00825A0D" w:rsidRPr="00127000">
        <w:rPr>
          <w:rFonts w:ascii="Times New Roman" w:eastAsia="Calibri" w:hAnsi="Times New Roman" w:cs="Times New Roman"/>
          <w:bCs/>
          <w:sz w:val="24"/>
          <w:szCs w:val="24"/>
        </w:rPr>
        <w:t>z dnia 30 kwietnia 2014 r. (sygn. I KZP 3/14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>) powołał się na art. 15 ust. 1  Paktu</w:t>
      </w:r>
      <w:r w:rsidR="003B7217" w:rsidRPr="00127000">
        <w:rPr>
          <w:rFonts w:ascii="Times New Roman" w:eastAsia="Calibri" w:hAnsi="Times New Roman" w:cs="Times New Roman"/>
          <w:sz w:val="24"/>
          <w:szCs w:val="24"/>
        </w:rPr>
        <w:t xml:space="preserve"> w toku orzekania </w:t>
      </w:r>
      <w:r w:rsidR="00C30832" w:rsidRPr="0012700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A216B" w:rsidRPr="00127000">
        <w:rPr>
          <w:rFonts w:ascii="Times New Roman" w:eastAsia="Calibri" w:hAnsi="Times New Roman" w:cs="Times New Roman"/>
          <w:sz w:val="24"/>
          <w:szCs w:val="24"/>
        </w:rPr>
        <w:t>zasadach orzekania wyroku łącznego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 xml:space="preserve">. Równocześnie </w:t>
      </w:r>
      <w:r w:rsidR="00BB02C8" w:rsidRPr="00127000">
        <w:rPr>
          <w:rFonts w:ascii="Times New Roman" w:eastAsia="Calibri" w:hAnsi="Times New Roman" w:cs="Times New Roman"/>
          <w:sz w:val="24"/>
          <w:szCs w:val="24"/>
        </w:rPr>
        <w:t xml:space="preserve">Sąd 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 xml:space="preserve">przypomniał </w:t>
      </w:r>
      <w:r w:rsidR="00825A0D" w:rsidRPr="00127000">
        <w:rPr>
          <w:rFonts w:ascii="Times New Roman" w:eastAsia="Calibri" w:hAnsi="Times New Roman" w:cs="Times New Roman"/>
          <w:bCs/>
          <w:sz w:val="24"/>
          <w:szCs w:val="24"/>
        </w:rPr>
        <w:t>uchwałę SN z 17 października 1991 r.</w:t>
      </w:r>
      <w:r w:rsidR="003B00BD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5A0D" w:rsidRPr="00127000">
        <w:rPr>
          <w:rFonts w:ascii="Times New Roman" w:eastAsia="Calibri" w:hAnsi="Times New Roman" w:cs="Times New Roman"/>
          <w:bCs/>
          <w:sz w:val="24"/>
          <w:szCs w:val="24"/>
        </w:rPr>
        <w:t>(sygn. II KRN 274/91)</w:t>
      </w:r>
      <w:r w:rsidR="003B00BD" w:rsidRPr="0012700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25A0D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 xml:space="preserve">w której stwierdził, że zakaz określony w art. 15 </w:t>
      </w:r>
      <w:r w:rsidR="003868D5" w:rsidRPr="00127000">
        <w:rPr>
          <w:rFonts w:ascii="Times New Roman" w:eastAsia="Calibri" w:hAnsi="Times New Roman" w:cs="Times New Roman"/>
          <w:sz w:val="24"/>
          <w:szCs w:val="24"/>
        </w:rPr>
        <w:t>Paktu</w:t>
      </w:r>
      <w:r w:rsidR="006F2572" w:rsidRPr="0012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0A0" w:rsidRPr="00127000">
        <w:rPr>
          <w:rFonts w:ascii="Times New Roman" w:eastAsia="Calibri" w:hAnsi="Times New Roman" w:cs="Times New Roman"/>
          <w:sz w:val="24"/>
          <w:szCs w:val="24"/>
        </w:rPr>
        <w:t xml:space="preserve">może być stosowany bezpośrednio w porządku wewnętrznym 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 xml:space="preserve">(normy tzw. </w:t>
      </w:r>
      <w:r w:rsidR="00825A0D" w:rsidRPr="00127000">
        <w:rPr>
          <w:rFonts w:ascii="Times New Roman" w:eastAsia="Calibri" w:hAnsi="Times New Roman" w:cs="Times New Roman"/>
          <w:i/>
          <w:iCs/>
          <w:sz w:val="24"/>
          <w:szCs w:val="24"/>
        </w:rPr>
        <w:t>self-executing</w:t>
      </w:r>
      <w:r w:rsidR="00106BCF" w:rsidRPr="00127000">
        <w:rPr>
          <w:rFonts w:ascii="Times New Roman" w:eastAsia="Calibri" w:hAnsi="Times New Roman" w:cs="Times New Roman"/>
          <w:sz w:val="24"/>
          <w:szCs w:val="24"/>
        </w:rPr>
        <w:t>)</w:t>
      </w:r>
      <w:r w:rsidR="00825A0D" w:rsidRPr="001270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5A0D" w:rsidRPr="00127000" w:rsidRDefault="00825A0D" w:rsidP="00C93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181" w:rsidRPr="00127000" w:rsidRDefault="00B30555" w:rsidP="00C9380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000">
        <w:rPr>
          <w:rFonts w:ascii="Times New Roman" w:eastAsia="Calibri" w:hAnsi="Times New Roman" w:cs="Times New Roman"/>
          <w:sz w:val="24"/>
          <w:szCs w:val="24"/>
        </w:rPr>
        <w:t>Sąd Apelacyjny w Rzeszowie w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 wyroku z dnia </w:t>
      </w:r>
      <w:r w:rsidR="007D0181" w:rsidRPr="00127000">
        <w:rPr>
          <w:rFonts w:ascii="Times New Roman" w:eastAsia="Calibri" w:hAnsi="Times New Roman" w:cs="Times New Roman"/>
          <w:bCs/>
          <w:sz w:val="24"/>
          <w:szCs w:val="24"/>
        </w:rPr>
        <w:t xml:space="preserve">16 czerwca 2014 r. (sygn. II AKa 111/13) </w:t>
      </w:r>
      <w:r w:rsidR="007D0181" w:rsidRPr="00127000">
        <w:rPr>
          <w:rFonts w:ascii="Times New Roman" w:eastAsia="Calibri" w:hAnsi="Times New Roman" w:cs="Times New Roman"/>
          <w:sz w:val="24"/>
          <w:szCs w:val="24"/>
        </w:rPr>
        <w:t xml:space="preserve">powołał się na art. 14 ust. 3 lit. b. </w:t>
      </w:r>
      <w:r w:rsidR="00CC020F" w:rsidRPr="00127000">
        <w:rPr>
          <w:rFonts w:ascii="Times New Roman" w:eastAsia="Calibri" w:hAnsi="Times New Roman" w:cs="Times New Roman"/>
          <w:sz w:val="24"/>
          <w:szCs w:val="24"/>
        </w:rPr>
        <w:t>Paktu</w:t>
      </w:r>
      <w:r w:rsidR="00B554CB" w:rsidRPr="00127000">
        <w:rPr>
          <w:rFonts w:ascii="Times New Roman" w:eastAsia="Calibri" w:hAnsi="Times New Roman" w:cs="Times New Roman"/>
          <w:sz w:val="24"/>
          <w:szCs w:val="24"/>
        </w:rPr>
        <w:t xml:space="preserve"> w trakcie swego wywodu </w:t>
      </w:r>
      <w:r w:rsidR="008A2C98" w:rsidRPr="00127000">
        <w:rPr>
          <w:rFonts w:ascii="Times New Roman" w:eastAsia="Calibri" w:hAnsi="Times New Roman" w:cs="Times New Roman"/>
          <w:sz w:val="24"/>
          <w:szCs w:val="24"/>
        </w:rPr>
        <w:t xml:space="preserve">na temat </w:t>
      </w:r>
      <w:r w:rsidR="00847272" w:rsidRPr="00127000">
        <w:rPr>
          <w:rFonts w:ascii="Times New Roman" w:eastAsia="Calibri" w:hAnsi="Times New Roman" w:cs="Times New Roman"/>
          <w:sz w:val="24"/>
          <w:szCs w:val="24"/>
        </w:rPr>
        <w:t>prawa do obrony</w:t>
      </w:r>
      <w:r w:rsidR="00FD5838" w:rsidRPr="00127000">
        <w:rPr>
          <w:rFonts w:ascii="Times New Roman" w:eastAsia="Calibri" w:hAnsi="Times New Roman" w:cs="Times New Roman"/>
          <w:sz w:val="24"/>
          <w:szCs w:val="24"/>
        </w:rPr>
        <w:t xml:space="preserve"> i innych gwarancji procesowych.</w:t>
      </w:r>
    </w:p>
    <w:p w:rsidR="007D0181" w:rsidRPr="00127000" w:rsidRDefault="007D0181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9BE" w:rsidRPr="00940089" w:rsidRDefault="00940089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089">
        <w:rPr>
          <w:rFonts w:ascii="Times New Roman" w:hAnsi="Times New Roman" w:cs="Times New Roman"/>
          <w:b/>
          <w:sz w:val="24"/>
          <w:szCs w:val="24"/>
          <w:u w:val="single"/>
        </w:rPr>
        <w:t>Dotyczy p</w:t>
      </w:r>
      <w:r w:rsidR="002257FC">
        <w:rPr>
          <w:rFonts w:ascii="Times New Roman" w:hAnsi="Times New Roman" w:cs="Times New Roman"/>
          <w:b/>
          <w:sz w:val="24"/>
          <w:szCs w:val="24"/>
          <w:u w:val="single"/>
        </w:rPr>
        <w:t>ar. 40</w:t>
      </w:r>
    </w:p>
    <w:p w:rsidR="00BA39B6" w:rsidRPr="00127000" w:rsidRDefault="00CE5951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 prowadzone przez Prokuraturę</w:t>
      </w:r>
      <w:r w:rsidR="00104EAE"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latach 2009-2014</w:t>
      </w:r>
      <w:r w:rsidR="00DF2C59" w:rsidRPr="00127000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</w:p>
    <w:p w:rsidR="00BA39B6" w:rsidRPr="00127000" w:rsidRDefault="00BA39B6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282" w:rsidRDefault="00E21282" w:rsidP="00C9380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2009 r.</w:t>
      </w:r>
    </w:p>
    <w:p w:rsidR="0050542B" w:rsidRPr="00127000" w:rsidRDefault="0050542B" w:rsidP="0050542B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35D2" w:rsidRPr="00127000" w:rsidRDefault="00E2128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30AC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rowadzono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166 postępowań</w:t>
      </w:r>
      <w:r w:rsidR="0005783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124 nowych postępowań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42 postępowania </w:t>
      </w:r>
      <w:r w:rsidR="00466384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kontynuowano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wcześniejszego okresu. Zakończon</w:t>
      </w:r>
      <w:r w:rsidR="00A3369D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146 spraw, zaś 20 spraw pozostawało w toku.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zakończonych ogółem 146 spraw: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28 sprawach skierowano akty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oskarżenia przeciwko 46 osobom;</w:t>
      </w:r>
    </w:p>
    <w:p w:rsidR="007635D2" w:rsidRPr="00127000" w:rsidRDefault="0095313B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73 sprawy umorzono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37 sprawach odmówiono wszczęcia postępowania przygotowawczego;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sprawy przekazano według właściwości innej prokuraturze, 2 sprawy przekazano według właściwości Sądowi Rodzinnemu i Nieletnich i 2 sprawy połączono z innymi postępowaniami;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1 sprawę zawieszono.</w:t>
      </w:r>
    </w:p>
    <w:p w:rsidR="007635D2" w:rsidRPr="00127000" w:rsidRDefault="009708E1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apadło 27 orzeczeń sądowych w sprawach skierowanych z aktami oskarżenia: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24 sprawach zapadły wyroki skazujące;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warunkowo umorzył postępowanie;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2 sprawach sąd wydał wyroki w odniesieniu do części osób oskarżonych skazujące, a w odniesieniu do części osób oskarżonych uniewinniające. </w:t>
      </w:r>
    </w:p>
    <w:p w:rsidR="007635D2" w:rsidRPr="00127000" w:rsidRDefault="007635D2" w:rsidP="00C9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21282" w:rsidRPr="00127000" w:rsidRDefault="00E21282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2010 r.</w:t>
      </w:r>
    </w:p>
    <w:p w:rsidR="00E21282" w:rsidRPr="00127000" w:rsidRDefault="00E21282" w:rsidP="00C938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E2128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rowadzono 182 postępowania, w tym 146 nowych postępowań, 36 spraw kontynuowano z wcześniejszego okresu. Zakończono ogółem 163 sprawy, zaś 19 spraw pozostawało w toku.</w:t>
      </w:r>
    </w:p>
    <w:p w:rsidR="007635D2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zakończonych ogółem 163 spraw:</w:t>
      </w:r>
    </w:p>
    <w:p w:rsidR="00B54F92" w:rsidRPr="00127000" w:rsidRDefault="00B54F9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30 sprawach skierowano akty oskarżenia przeciwko 38 osobom;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72 sprawy umorzono;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54 sprawach odmówiono wszczęcia postępowania przygotowawczego;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6 spraw zawieszono;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1 sprawę przekazano według właściwości do Sądu Rodzinnego i Nieletnich.</w:t>
      </w:r>
    </w:p>
    <w:p w:rsidR="007635D2" w:rsidRPr="00127000" w:rsidRDefault="007635D2" w:rsidP="00C938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0556CD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apadło 30 orzeczeń sądowych w sprawach skierowanych z aktami oskarżenia, w tym: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23 spr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awach zapadły wyroki skazujące;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4 sprawach sądy warunkowo umorzyły postępowanie;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wyrok zapadł częściowo skazujący (w stosunku do 3 oskarżonych) i częściowo uniewinniający (w stosunku do 1 oskarżonego);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uniewinnił oskarżonego;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 umorzył postępowanie  z uwagi na brak znamion czynu zabronionego.</w:t>
      </w:r>
    </w:p>
    <w:p w:rsidR="007635D2" w:rsidRPr="00127000" w:rsidRDefault="007635D2" w:rsidP="00C9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776" w:rsidRPr="00127000" w:rsidRDefault="00911776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2011 r.</w:t>
      </w:r>
    </w:p>
    <w:p w:rsidR="00911776" w:rsidRPr="00127000" w:rsidRDefault="00911776" w:rsidP="00C938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Default="00911776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rowadzono 323 postępowania, w tym 272 nowe postępowania, 51 spraw kontynuowano z wcześniejszego okresu. Na koniec 2011 r. zakończono ogółem 279 spraw, a 44 sprawy pozostawały w toku.</w:t>
      </w:r>
    </w:p>
    <w:p w:rsidR="00B54F92" w:rsidRPr="00127000" w:rsidRDefault="00B54F9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zakończonych ogółem 279 spraw: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40 sprawach skierowano akty oskarżenia przeciwko 54 osobom;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134 sprawy umorzono;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91 sprawach odmówiono wszczęcia postępowania przygotowawczego;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7 spraw zawieszono;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4 sprawy zakończono w inny sposób (3 przekazano według właściwości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1 połączono z innym postępowaniem);</w:t>
      </w:r>
    </w:p>
    <w:p w:rsidR="007635D2" w:rsidRPr="00127000" w:rsidRDefault="007635D2" w:rsidP="00C93801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w 3 sprawach skierowano wnioski o warunkowe umorzenie postępowania przeciwko 5 osobom.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0556CD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apadło 28 orzeczeń sądowych w sprawach skierowanych z aktami oskarżenia, w tym: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 sprawach zapadły  wyroki skazujące;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4 sprawach sądy warunkowo umorzyły postępowanie;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 sprawach zapadły wyroki uniewinniające;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1 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sąd umorzył postępowanie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znikomy stopień społecznej szkodliwości czynu;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umorzył postępowanie z uwagi na brak znamion czynu zabronionego.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45187" w:rsidRPr="00127000" w:rsidRDefault="00645187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129B" w:rsidRPr="00127000" w:rsidRDefault="0061129B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2012 r.</w:t>
      </w:r>
    </w:p>
    <w:p w:rsidR="0061129B" w:rsidRPr="00127000" w:rsidRDefault="0061129B" w:rsidP="00C9380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Default="000556CD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730AC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owadzono</w:t>
      </w:r>
      <w:r w:rsidR="009B6176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473 postępowań</w:t>
      </w:r>
      <w:r w:rsidR="003730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362 nowych postępowań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, 111 postępowań kontynuowano z wcześniejszego okresu.</w:t>
      </w:r>
    </w:p>
    <w:p w:rsidR="00B54F92" w:rsidRPr="00127000" w:rsidRDefault="00B54F9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na koniec 2012 r.: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65 spraw było w toku;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zakończono ogółem 408 spraw, w tym:</w:t>
      </w:r>
    </w:p>
    <w:p w:rsidR="007635D2" w:rsidRPr="00127000" w:rsidRDefault="007635D2" w:rsidP="00C9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75 sprawach skierowano akty oskarżenia przeciwko 139 osobom;</w:t>
      </w:r>
    </w:p>
    <w:p w:rsidR="007635D2" w:rsidRPr="00127000" w:rsidRDefault="007635D2" w:rsidP="00C93801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103 sprawach odmówiono wszczęcia postępowania przygotowawczego;</w:t>
      </w:r>
    </w:p>
    <w:p w:rsidR="007635D2" w:rsidRPr="00127000" w:rsidRDefault="007635D2" w:rsidP="00C938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 spraw zawieszono;</w:t>
      </w:r>
    </w:p>
    <w:p w:rsidR="007635D2" w:rsidRPr="00127000" w:rsidRDefault="007635D2" w:rsidP="00C93801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 spraw zakończono w inny sposób (przekazano według właściwości do Sekcji do Spraw Nieletnich KRP, do Sądu Rodzinnego i Nieletnich, połączono 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postępowaniem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635D2" w:rsidRPr="00127000" w:rsidRDefault="007635D2" w:rsidP="00C93801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skierowano wniosek o warunkowe umorzenie postępowania przeciwko 2 osobom;</w:t>
      </w:r>
    </w:p>
    <w:p w:rsidR="007635D2" w:rsidRPr="00127000" w:rsidRDefault="007635D2" w:rsidP="00C93801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skierowano wniosek do sądu o umorzenie postępowania przeciwko 1 osobie z uwagi na niepoczytalność w trybie art. 324 § 1 k.p.k.</w:t>
      </w:r>
    </w:p>
    <w:p w:rsidR="007635D2" w:rsidRPr="00127000" w:rsidRDefault="007635D2" w:rsidP="00C93801">
      <w:pPr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łącznie 208 spraw umorzono.</w:t>
      </w:r>
    </w:p>
    <w:p w:rsidR="00FA72A7" w:rsidRPr="00127000" w:rsidRDefault="00FA72A7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umorzono postępowanie przygotowawcze przeciwko 35 podejrzanym.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0556CD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apadło 50 orzeczeń sądowych w sprawach skierowanych z aktami oskarżenia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34 sprawach zapadły wyroki skazujące wobec 59 osób;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5 sprawach sądy warunkowo umorzyły postępowanie wobec 6 osób;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7 sprawach zapadły wyroki uniewinniające 7 osób;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umorzył postępowania z uwagi na znikomy stopień społecznej szkodliwości czynu wobec 1 osoby;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 sprawach sąd umorzył postępowanie z uwagi na brak znamion czynu zabronionego wobec 19 osób;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wydał wyrok uniewinniający 1 osobę i umarzający postępowanie wobec 1 osoby z uwagi na znikomy stopień społecznej szkodliwości czynu.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29C" w:rsidRPr="00127000" w:rsidRDefault="007E129C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2013 r.</w:t>
      </w:r>
    </w:p>
    <w:p w:rsidR="007E129C" w:rsidRPr="00127000" w:rsidRDefault="007E129C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Default="007E129C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rowadzonych było 835 postępowań, w tym 719 nowych postępowań, 116 </w:t>
      </w:r>
      <w:r w:rsidR="00DD6B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 kontynuowano</w:t>
      </w:r>
      <w:bookmarkStart w:id="0" w:name="_GoBack"/>
      <w:bookmarkEnd w:id="0"/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wcześniejszego okresu.</w:t>
      </w:r>
    </w:p>
    <w:p w:rsidR="00B54F92" w:rsidRPr="00127000" w:rsidRDefault="00B54F9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2013: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128 spraw pozostawało w toku;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zakończono ogółem 707 spraw, w tym: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111 sprawach skierowano akty oskarżenia przeciwko 174 osobom;</w:t>
      </w:r>
    </w:p>
    <w:p w:rsidR="007635D2" w:rsidRPr="00127000" w:rsidRDefault="007635D2" w:rsidP="00C9380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5 sprawach skierowano wnioski do Sądu o warunkowe umorzenie postępowania przeciwko 6 osobom;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126 sprawach odmówiono wszczęcia postępowania;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17 sprawach zawieszono postępowanie;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 sprawy zakończono w inny sposób ( przekazano wg właściwości);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skierowano wniosek do sądu o umorzenie postępowania przeciwko 1 osobie z uwagi na niepoczytalność w chwili czynu w trybie art. 324 § 1 kpk;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443 sprawy umorzono.</w:t>
      </w:r>
    </w:p>
    <w:p w:rsidR="00CB6EF6" w:rsidRPr="00127000" w:rsidRDefault="00CB6EF6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umorzono postępowanie przygotowawcze przeciwko 37 podejrzanym.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EF6" w:rsidRPr="00127000" w:rsidRDefault="00CB6EF6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E129C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apadło 61 orzeczeń sądowych: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53 sprawach zapadły wyroki skazujące wobec 87 osób;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sądy warunkowo umorzyły postępowanie wobec 9 osób;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zapadły wyroki uniewinniające wobec 7 osób.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E129C" w:rsidRPr="00127000" w:rsidRDefault="007664B3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2014 r.</w:t>
      </w:r>
    </w:p>
    <w:p w:rsidR="00307E2E" w:rsidRPr="00127000" w:rsidRDefault="00307E2E" w:rsidP="00C9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307E2E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205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były w toku;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zakończono ogółem </w:t>
      </w:r>
      <w:r w:rsidR="00307E2E">
        <w:rPr>
          <w:rFonts w:ascii="Times New Roman" w:eastAsia="Times New Roman" w:hAnsi="Times New Roman" w:cs="Times New Roman"/>
          <w:sz w:val="24"/>
          <w:szCs w:val="24"/>
          <w:lang w:eastAsia="pl-PL"/>
        </w:rPr>
        <w:t>1160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spraw, w tym:</w:t>
      </w:r>
    </w:p>
    <w:p w:rsidR="007635D2" w:rsidRPr="00127000" w:rsidRDefault="00307E2E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154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skierow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ano akty oskarżenia przeciwko 228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osobom;</w:t>
      </w:r>
    </w:p>
    <w:p w:rsidR="007635D2" w:rsidRPr="00127000" w:rsidRDefault="00307E2E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25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skierowano wnioski do sądu o warunkowe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orzenie postępowania przeciwko 28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="00307E2E">
        <w:rPr>
          <w:rFonts w:ascii="Times New Roman" w:eastAsia="Times New Roman" w:hAnsi="Times New Roman" w:cs="Times New Roman"/>
          <w:sz w:val="24"/>
          <w:szCs w:val="24"/>
          <w:lang w:eastAsia="pl-PL"/>
        </w:rPr>
        <w:t>299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odmówiono wszczęcia postępowania;</w:t>
      </w:r>
    </w:p>
    <w:p w:rsidR="007635D2" w:rsidRPr="00127000" w:rsidRDefault="00307E2E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53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zawieszono postępowanie;</w:t>
      </w:r>
    </w:p>
    <w:p w:rsidR="007635D2" w:rsidRPr="00127000" w:rsidRDefault="00307E2E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zakończono w inny sposób (przekazano wg właściwości do Sądu Rodzinnego i Nieletnich, do innej prokuratury, połączono 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postępowaniem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635D2" w:rsidRPr="00127000" w:rsidRDefault="00307E2E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596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umorzono.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umorzono postępowanie przygotowawcze przeciwko </w:t>
      </w:r>
      <w:r w:rsidR="00EA2747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podejrzanym.</w:t>
      </w:r>
    </w:p>
    <w:p w:rsidR="005E2924" w:rsidRPr="00127000" w:rsidRDefault="005E2924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635D2" w:rsidRPr="00127000" w:rsidRDefault="00EF40B3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apadło </w:t>
      </w:r>
      <w:r w:rsidR="006F41A4">
        <w:rPr>
          <w:rFonts w:ascii="Times New Roman" w:eastAsia="Times New Roman" w:hAnsi="Times New Roman" w:cs="Times New Roman"/>
          <w:sz w:val="24"/>
          <w:szCs w:val="24"/>
          <w:lang w:eastAsia="pl-PL"/>
        </w:rPr>
        <w:t>137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orzeczeń sądowych w sprawach skierowanych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aktami oskarżenia</w:t>
      </w:r>
      <w:r w:rsidR="001555D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35D2" w:rsidRPr="00127000" w:rsidRDefault="00981467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107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apadły wyroki skazujące wobec 147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sądy warunkowo umorzyły postępowanie w </w:t>
      </w:r>
      <w:r w:rsidR="00981467">
        <w:rPr>
          <w:rFonts w:ascii="Times New Roman" w:eastAsia="Times New Roman" w:hAnsi="Times New Roman" w:cs="Times New Roman"/>
          <w:sz w:val="24"/>
          <w:szCs w:val="24"/>
          <w:lang w:eastAsia="pl-PL"/>
        </w:rPr>
        <w:t>19 sprawach wobec 24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osób;</w:t>
      </w:r>
    </w:p>
    <w:p w:rsidR="007635D2" w:rsidRPr="00127000" w:rsidRDefault="00981467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6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zapad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 wyroki uniewinniające wobec 10</w:t>
      </w:r>
      <w:r w:rsidR="007635D2"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osób;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umorzył postępowanie wobec 1 oskarżonego z uwagi na znikomy stopień społecznej szkodliwości czynu;</w:t>
      </w:r>
    </w:p>
    <w:p w:rsidR="007635D2" w:rsidRPr="00127000" w:rsidRDefault="007635D2" w:rsidP="00C93801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umorzył postępowanie wobec 1 oskarżonego z uwagi na jego niepoczytalność w chwili czynu;</w:t>
      </w:r>
    </w:p>
    <w:p w:rsidR="007635D2" w:rsidRPr="00127000" w:rsidRDefault="007635D2" w:rsidP="00C9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70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1 sprawie sąd umorzył postępowanie wobec 1 oskarżonego wobec jego śmierci.</w:t>
      </w:r>
    </w:p>
    <w:p w:rsidR="00981467" w:rsidRPr="00127000" w:rsidRDefault="00981467" w:rsidP="00C93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897" w:rsidRPr="00127000" w:rsidRDefault="00844897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 xml:space="preserve">Prawomocne skazania </w:t>
      </w:r>
      <w:r w:rsidR="00013795" w:rsidRPr="00127000">
        <w:rPr>
          <w:rFonts w:ascii="Times New Roman" w:hAnsi="Times New Roman" w:cs="Times New Roman"/>
          <w:b/>
          <w:sz w:val="24"/>
          <w:szCs w:val="24"/>
        </w:rPr>
        <w:t>(przestępstwa z nienawiści)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696"/>
        <w:gridCol w:w="696"/>
        <w:gridCol w:w="696"/>
        <w:gridCol w:w="696"/>
        <w:gridCol w:w="696"/>
      </w:tblGrid>
      <w:tr w:rsidR="00C162EF" w:rsidRPr="00127000" w:rsidTr="006C5933">
        <w:trPr>
          <w:trHeight w:val="315"/>
        </w:trPr>
        <w:tc>
          <w:tcPr>
            <w:tcW w:w="1976" w:type="dxa"/>
            <w:vMerge w:val="restart"/>
            <w:shd w:val="clear" w:color="auto" w:fill="D9D9D9" w:themeFill="background1" w:themeFillShade="D9"/>
            <w:hideMark/>
          </w:tcPr>
          <w:p w:rsidR="00C162EF" w:rsidRPr="00127000" w:rsidRDefault="00C162EF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C162EF" w:rsidRPr="00127000" w:rsidRDefault="00C162EF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LATA</w:t>
            </w:r>
          </w:p>
        </w:tc>
      </w:tr>
      <w:tr w:rsidR="00044211" w:rsidRPr="00127000" w:rsidTr="00094C82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044211" w:rsidRPr="00127000" w:rsidTr="00094C82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211" w:rsidRPr="00127000" w:rsidTr="00094C82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4211" w:rsidRPr="00127000" w:rsidTr="00094C82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62EF" w:rsidRPr="00127000" w:rsidTr="00094C82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C162EF" w:rsidRPr="00127000" w:rsidRDefault="00C162EF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C162EF" w:rsidRPr="00127000" w:rsidRDefault="00C162EF" w:rsidP="00C938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iCs/>
                <w:sz w:val="24"/>
                <w:szCs w:val="24"/>
              </w:rPr>
              <w:t>w liczbach bezwzględnych</w:t>
            </w:r>
          </w:p>
        </w:tc>
      </w:tr>
      <w:tr w:rsidR="00044211" w:rsidRPr="00127000" w:rsidTr="006C5933">
        <w:trPr>
          <w:trHeight w:val="360"/>
        </w:trPr>
        <w:tc>
          <w:tcPr>
            <w:tcW w:w="1976" w:type="dxa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Art.118 kk              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44211" w:rsidRPr="00127000" w:rsidTr="006C5933">
        <w:trPr>
          <w:trHeight w:val="315"/>
        </w:trPr>
        <w:tc>
          <w:tcPr>
            <w:tcW w:w="1976" w:type="dxa"/>
            <w:hideMark/>
          </w:tcPr>
          <w:p w:rsidR="00044211" w:rsidRPr="00127000" w:rsidRDefault="00044211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Art.118a kk              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044211" w:rsidRPr="00127000" w:rsidRDefault="00044211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86A26" w:rsidRPr="00127000" w:rsidTr="001A4B15">
        <w:trPr>
          <w:trHeight w:val="435"/>
        </w:trPr>
        <w:tc>
          <w:tcPr>
            <w:tcW w:w="1976" w:type="dxa"/>
          </w:tcPr>
          <w:p w:rsidR="00A86A26" w:rsidRPr="00127000" w:rsidRDefault="00A86A26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Art. 119 §1 kk</w:t>
            </w:r>
          </w:p>
        </w:tc>
        <w:tc>
          <w:tcPr>
            <w:tcW w:w="696" w:type="dxa"/>
            <w:noWrap/>
          </w:tcPr>
          <w:p w:rsidR="00A86A26" w:rsidRPr="00127000" w:rsidRDefault="00A86A26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noWrap/>
          </w:tcPr>
          <w:p w:rsidR="00A86A26" w:rsidRPr="00127000" w:rsidRDefault="00A86A26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noWrap/>
          </w:tcPr>
          <w:p w:rsidR="00A86A26" w:rsidRPr="00127000" w:rsidRDefault="00A86A26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noWrap/>
          </w:tcPr>
          <w:p w:rsidR="00A86A26" w:rsidRPr="00127000" w:rsidRDefault="00A86A26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noWrap/>
          </w:tcPr>
          <w:p w:rsidR="00A86A26" w:rsidRPr="00127000" w:rsidRDefault="00A86A26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B15" w:rsidRPr="00127000" w:rsidTr="001A4B15">
        <w:trPr>
          <w:trHeight w:val="315"/>
        </w:trPr>
        <w:tc>
          <w:tcPr>
            <w:tcW w:w="1976" w:type="dxa"/>
          </w:tcPr>
          <w:p w:rsidR="001A4B15" w:rsidRPr="00127000" w:rsidRDefault="001A4B15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Art.256 kk                 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A4B15" w:rsidRPr="00127000" w:rsidTr="001A4B15">
        <w:trPr>
          <w:trHeight w:val="300"/>
        </w:trPr>
        <w:tc>
          <w:tcPr>
            <w:tcW w:w="1976" w:type="dxa"/>
          </w:tcPr>
          <w:p w:rsidR="001A4B15" w:rsidRPr="00127000" w:rsidRDefault="001A4B15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Art.256 §1 kk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4B15" w:rsidRPr="00127000" w:rsidTr="006C5933">
        <w:trPr>
          <w:trHeight w:val="300"/>
        </w:trPr>
        <w:tc>
          <w:tcPr>
            <w:tcW w:w="1976" w:type="dxa"/>
          </w:tcPr>
          <w:p w:rsidR="001A4B15" w:rsidRPr="00127000" w:rsidRDefault="001A4B15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Art.256 §2 kk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B15" w:rsidRPr="00127000" w:rsidTr="006C5933">
        <w:trPr>
          <w:trHeight w:val="300"/>
        </w:trPr>
        <w:tc>
          <w:tcPr>
            <w:tcW w:w="1976" w:type="dxa"/>
          </w:tcPr>
          <w:p w:rsidR="001A4B15" w:rsidRPr="00127000" w:rsidRDefault="001A4B15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Art.257 kk                 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noWrap/>
          </w:tcPr>
          <w:p w:rsidR="001A4B15" w:rsidRPr="00127000" w:rsidRDefault="001A4B15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391790" w:rsidRPr="00127000" w:rsidRDefault="00391790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8F" w:rsidRPr="00127000" w:rsidRDefault="003B048F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0"/>
          <w:szCs w:val="20"/>
        </w:rPr>
      </w:pPr>
      <w:r w:rsidRPr="00127000">
        <w:rPr>
          <w:bCs/>
          <w:i/>
          <w:sz w:val="20"/>
          <w:szCs w:val="20"/>
        </w:rPr>
        <w:t>Kodeks karny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118. </w:t>
      </w:r>
      <w:r w:rsidRPr="00127000">
        <w:rPr>
          <w:sz w:val="20"/>
          <w:szCs w:val="20"/>
        </w:rPr>
        <w:t xml:space="preserve">§ 1. Kto, w celu wyniszczenia w całości albo w części grupy narodowej, etnicznej, rasowej, politycznej, wyznaniowej lub grupy o określonym światopoglądzie, dopuszcza się zabójstwa albo powoduje ciężki uszczerbek na zdrowiu osoby należącej do takiej grupy,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karze pozbawienia wolności na czas nie krótszy od lat 12, karze 25 lat pozbawienia wolności albo karze dożywotniego pozbawienia wolności.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2. Kto, w celu określonym w § 1, stwarza dla osób należących do takiej grupy warunki życia grożące jej biologicznym wyniszczeniem, stosuje środki mające służyć do wstrzymania urodzeń w obrębie grupy lub przymusowo odbiera dzieci osobom do niej należącym,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karze pozbawienia wolności na czas nie krótszy od lat 5 albo karze 25 lat pozbawienia wolności.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3. Kto czyni przygotowania do przestępstwa określonego w § 1 lub 2,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>podlega karze pozbawienia wolności na czas nie krótszy od lat 3</w:t>
      </w:r>
    </w:p>
    <w:p w:rsidR="005551A0" w:rsidRPr="00127000" w:rsidRDefault="005551A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118a. </w:t>
      </w:r>
      <w:r w:rsidRPr="00127000">
        <w:rPr>
          <w:sz w:val="20"/>
          <w:szCs w:val="20"/>
        </w:rPr>
        <w:t xml:space="preserve">§ 1. Kto, biorąc udział w masowym zamachu lub choćby w jednym z powtarzających się zamachów skierowanych przeciwko grupie ludności podjętych w celu wykonania lub wsparcia polityki państwa lub organizacji: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1) dopuszcza się zabójstwa,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2) powoduje ciężki uszczerbek na zdrowiu człowieka,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3) stwarza dla osób należących do grupy ludności warunki życia grożące ich biologicznej egzystencji, w szczególności przez pozbawienie dostępu do żywności lub opieki medycznej, które są obliczone na ich wyniszczenie,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karze pozbawienia wolności na czas nie krótszy od lat 12, karze 25 lat pozbawienia wolności albo karze dożywotniego pozbawienia wolności.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2. Kto, biorąc udział w masowym zamachu lub choćby w jednym z powtarzających się zamachów skierowanych przeciwko grupie ludności podjętych w celu wykonania lub wsparcia polityki państwa lub organizacji: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1) powoduje oddanie osoby w stan niewolnictwa lub utrzymuje ją w tym stanie,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2) pozbawia osobę wolności na czas przekraczający 7 dni lub ze szczególnym udręczeniem,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3) stosuje tortury lub poddaje osobę okrutnemu lub nieludzkiemu traktowaniu,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4) dopuszcza się zgwałcenia albo stosując przemoc, groźbę bezprawną lub podstęp w inny sposób narusza wolność seksualną osoby,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5) stosując przemoc lub groźbę bezprawną powoduje zajście przez kobietę w ciążę w zamiarze wpłynięcia na skład etniczny grupy ludności lub dokonania innych poważnych naruszeń prawa międzynarodowego,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6) pozbawia osobę wolności i odmawia udzielenia informacji dotyczących tej osoby lub miejsca jej pobytu lub przekazuje nieprawdziwe informacje dotyczące tej osoby lub miejsca jej pobytu, w zamiarze pozbawienia takiej osoby ochrony prawnej przez dłuższy okres,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karze pozbawienia wolności na czas nie krótszy od lat 5 albo karze 25 lat pozbawienia wolności.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3. Kto, biorąc udział w masowym zamachu lub choćby w jednym z powtarzających się zamachów skierowanych przeciwko grupie ludności podjętych w celu wykonania lub wsparcia polityki państwa lub organizacji: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>1) naruszając prawo międzynarodowe zmusza osoby do zmiany ich zgodnego z prawem miejsca zamieszkania,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>2) dopuszcza się poważnego prześladowania grupy ludności z powodów uznanych za niedopuszczalne na podstawie prawa międzynarodowego, w szczególności politycznych, rasowych, narodowych, etnicznych, kulturowych, wyznaniowych lub z powodu bezwyznaniowości, światopoglądu lub płci, powodując pozbawienie praw podstawowych, podlega karze pozbawienia wolności na czas nie krótszy od lat 3.</w:t>
      </w:r>
    </w:p>
    <w:p w:rsidR="0055133A" w:rsidRPr="00127000" w:rsidRDefault="0055133A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6011CA" w:rsidRPr="00127000" w:rsidRDefault="006011CA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sz w:val="20"/>
          <w:szCs w:val="20"/>
        </w:rPr>
        <w:t>Art. 119.</w:t>
      </w:r>
      <w:r w:rsidRPr="00127000">
        <w:rPr>
          <w:sz w:val="20"/>
          <w:szCs w:val="20"/>
        </w:rPr>
        <w:t xml:space="preserve"> § 1. Kto stosuje przemoc lub groźbę bezprawną wobec grupy osób lub poszczególnej osoby z powodu jej przynależności narodowej, etnicznej, rasowej, politycznej, wyznaniowej lub z powodu jej bezwyznaniowości,</w:t>
      </w:r>
    </w:p>
    <w:p w:rsidR="00392CF2" w:rsidRPr="00127000" w:rsidRDefault="006011CA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>podlega karze pozbawienia wolności od 3 miesięcy do lat 5.</w:t>
      </w:r>
    </w:p>
    <w:p w:rsidR="00392CF2" w:rsidRPr="00127000" w:rsidRDefault="00392CF2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256. </w:t>
      </w:r>
      <w:r w:rsidRPr="00127000">
        <w:rPr>
          <w:sz w:val="20"/>
          <w:szCs w:val="20"/>
        </w:rPr>
        <w:t xml:space="preserve">§ 1. Kto publicznie propaguje faszystowski lub inny totalitarny ustrój państwa lub nawołuje do nienawiści na tle różnic narodowościowych, etnicznych, rasowych, wyznaniowych albo ze względu na bezwyznaniowość,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grzywnie, karze ograniczenia wolności albo pozbawienia wolności do lat 2.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lastRenderedPageBreak/>
        <w:t xml:space="preserve">§ 2.6) Tej samej karze podlega, kto w celu rozpowszechniania produkuje, utrwala lub sprowadza, nabywa, przechowuje, posiada, prezentuje, przewozi lub przesyła druk, nagranie lub inny przedmiot, zawierające treść określoną w § 1 albo będące nośnikiem symboliki faszystowskiej, komunistycznej lub innej totalitarnej.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3. Nie popełnia przestępstwa sprawca czynu zabronionego określonego w § 2, jeżeli dopuścił się tego czynu w ramach działalności artystycznej, edukacyjnej, kolekcjonerskiej lub naukowej. </w:t>
      </w: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4. W razie skazania za przestępstwo określone w § 2 sąd orzeka przepadek przedmiotów, o których mowa w § 2, chociażby nie stanowiły własności sprawcy. </w:t>
      </w:r>
    </w:p>
    <w:p w:rsidR="005551A0" w:rsidRPr="00127000" w:rsidRDefault="005551A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391790" w:rsidRPr="00127000" w:rsidRDefault="00391790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257. </w:t>
      </w:r>
      <w:r w:rsidRPr="00127000">
        <w:rPr>
          <w:sz w:val="20"/>
          <w:szCs w:val="20"/>
        </w:rPr>
        <w:t>Kto publicznie znieważa grupę ludności albo poszczególną osobę z powodu jej przynależności narodowej, etnicznej, rasowej, wyznaniowej albo z powodu jej bezwyznaniowości lub z takich powodów narusza nietykalność cielesną innej osoby, podlega karze pozbawienia wolności do lat 3.</w:t>
      </w:r>
    </w:p>
    <w:p w:rsidR="007029F8" w:rsidRDefault="007029F8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A" w:rsidRPr="000265B4" w:rsidRDefault="00FE188A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B4">
        <w:rPr>
          <w:rFonts w:ascii="Times New Roman" w:hAnsi="Times New Roman" w:cs="Times New Roman"/>
          <w:b/>
          <w:sz w:val="24"/>
          <w:szCs w:val="24"/>
        </w:rPr>
        <w:t xml:space="preserve">Sprawy </w:t>
      </w:r>
      <w:r w:rsidR="001655B1" w:rsidRPr="000265B4">
        <w:rPr>
          <w:rFonts w:ascii="Times New Roman" w:hAnsi="Times New Roman" w:cs="Times New Roman"/>
          <w:b/>
          <w:sz w:val="24"/>
          <w:szCs w:val="24"/>
        </w:rPr>
        <w:t xml:space="preserve">monitorowane przez Zespół </w:t>
      </w:r>
      <w:r w:rsidR="00A96277" w:rsidRPr="000265B4">
        <w:rPr>
          <w:rFonts w:ascii="Times New Roman" w:hAnsi="Times New Roman" w:cs="Times New Roman"/>
          <w:b/>
          <w:sz w:val="24"/>
          <w:szCs w:val="24"/>
        </w:rPr>
        <w:t>ds. Ochrony Praw Człowieka MSW</w:t>
      </w:r>
    </w:p>
    <w:p w:rsidR="00FE188A" w:rsidRDefault="00583D07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2011 r. monitorowano 85 spraw;</w:t>
      </w:r>
    </w:p>
    <w:p w:rsidR="00583D07" w:rsidRDefault="00583D07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2012 r, monitorowano 89 spraw;</w:t>
      </w:r>
    </w:p>
    <w:p w:rsidR="00583D07" w:rsidRDefault="00583D07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2013 r. monitorowani 175 spraw;</w:t>
      </w:r>
    </w:p>
    <w:p w:rsidR="00583D07" w:rsidRPr="00127000" w:rsidRDefault="00583D07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2014 r. monitorowano 315 spraw. </w:t>
      </w:r>
    </w:p>
    <w:p w:rsidR="00726DBB" w:rsidRPr="00653DB4" w:rsidRDefault="00653DB4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DB4">
        <w:rPr>
          <w:rFonts w:ascii="Times New Roman" w:hAnsi="Times New Roman" w:cs="Times New Roman"/>
          <w:b/>
          <w:sz w:val="24"/>
          <w:szCs w:val="24"/>
          <w:u w:val="single"/>
        </w:rPr>
        <w:t>Dotyczy p</w:t>
      </w:r>
      <w:r w:rsidR="00D6416F" w:rsidRPr="00653DB4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. 61</w:t>
      </w:r>
    </w:p>
    <w:p w:rsidR="005E3621" w:rsidRPr="00127000" w:rsidRDefault="00DF7391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Prawomocne skazania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696"/>
        <w:gridCol w:w="696"/>
        <w:gridCol w:w="696"/>
        <w:gridCol w:w="696"/>
        <w:gridCol w:w="696"/>
      </w:tblGrid>
      <w:tr w:rsidR="00B4390D" w:rsidRPr="00127000" w:rsidTr="006C5933">
        <w:trPr>
          <w:trHeight w:val="315"/>
        </w:trPr>
        <w:tc>
          <w:tcPr>
            <w:tcW w:w="1934" w:type="dxa"/>
            <w:vMerge w:val="restart"/>
            <w:shd w:val="clear" w:color="auto" w:fill="D9D9D9" w:themeFill="background1" w:themeFillShade="D9"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3456" w:type="dxa"/>
            <w:gridSpan w:val="5"/>
            <w:shd w:val="clear" w:color="auto" w:fill="D9D9D9" w:themeFill="background1" w:themeFillShade="D9"/>
            <w:noWrap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</w:tr>
      <w:tr w:rsidR="00FB702B" w:rsidRPr="00127000" w:rsidTr="006C5933">
        <w:trPr>
          <w:trHeight w:val="300"/>
        </w:trPr>
        <w:tc>
          <w:tcPr>
            <w:tcW w:w="1934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shd w:val="clear" w:color="auto" w:fill="D9D9D9" w:themeFill="background1" w:themeFillShade="D9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91" w:type="dxa"/>
            <w:vMerge w:val="restart"/>
            <w:shd w:val="clear" w:color="auto" w:fill="D9D9D9" w:themeFill="background1" w:themeFillShade="D9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91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91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91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FB702B" w:rsidRPr="00127000" w:rsidTr="006C5933">
        <w:trPr>
          <w:trHeight w:val="300"/>
        </w:trPr>
        <w:tc>
          <w:tcPr>
            <w:tcW w:w="1934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02B" w:rsidRPr="00127000" w:rsidTr="006C5933">
        <w:trPr>
          <w:trHeight w:val="300"/>
        </w:trPr>
        <w:tc>
          <w:tcPr>
            <w:tcW w:w="1934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02B" w:rsidRPr="00127000" w:rsidTr="006C5933">
        <w:trPr>
          <w:trHeight w:val="300"/>
        </w:trPr>
        <w:tc>
          <w:tcPr>
            <w:tcW w:w="1934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90D" w:rsidRPr="00127000" w:rsidTr="006C5933">
        <w:trPr>
          <w:trHeight w:val="300"/>
        </w:trPr>
        <w:tc>
          <w:tcPr>
            <w:tcW w:w="1934" w:type="dxa"/>
            <w:vMerge/>
            <w:shd w:val="clear" w:color="auto" w:fill="D9D9D9" w:themeFill="background1" w:themeFillShade="D9"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gridSpan w:val="5"/>
            <w:shd w:val="clear" w:color="auto" w:fill="D9D9D9" w:themeFill="background1" w:themeFillShade="D9"/>
            <w:noWrap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liczbach bezwzględnych</w:t>
            </w:r>
          </w:p>
        </w:tc>
      </w:tr>
      <w:tr w:rsidR="00FB702B" w:rsidRPr="00127000" w:rsidTr="00FB702B">
        <w:trPr>
          <w:trHeight w:val="435"/>
        </w:trPr>
        <w:tc>
          <w:tcPr>
            <w:tcW w:w="1934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Art.207 §1 kk              </w:t>
            </w:r>
          </w:p>
        </w:tc>
        <w:tc>
          <w:tcPr>
            <w:tcW w:w="692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14 025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13 485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13 153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12 318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11 601</w:t>
            </w:r>
          </w:p>
        </w:tc>
      </w:tr>
      <w:tr w:rsidR="00FB702B" w:rsidRPr="00127000" w:rsidTr="00FB702B">
        <w:trPr>
          <w:trHeight w:val="300"/>
        </w:trPr>
        <w:tc>
          <w:tcPr>
            <w:tcW w:w="1934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Art.207 §2 kk              </w:t>
            </w:r>
          </w:p>
        </w:tc>
        <w:tc>
          <w:tcPr>
            <w:tcW w:w="692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702B" w:rsidRPr="00127000" w:rsidTr="00FB702B">
        <w:trPr>
          <w:trHeight w:val="300"/>
        </w:trPr>
        <w:tc>
          <w:tcPr>
            <w:tcW w:w="1934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Art.207 §3 kk              </w:t>
            </w:r>
          </w:p>
        </w:tc>
        <w:tc>
          <w:tcPr>
            <w:tcW w:w="692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702B" w:rsidRPr="00127000" w:rsidTr="00FB702B">
        <w:trPr>
          <w:trHeight w:val="300"/>
        </w:trPr>
        <w:tc>
          <w:tcPr>
            <w:tcW w:w="1934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Art.207 §3 kk w zw. z §1   </w:t>
            </w:r>
          </w:p>
        </w:tc>
        <w:tc>
          <w:tcPr>
            <w:tcW w:w="692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702B" w:rsidRPr="00127000" w:rsidTr="00FB702B">
        <w:trPr>
          <w:trHeight w:val="315"/>
        </w:trPr>
        <w:tc>
          <w:tcPr>
            <w:tcW w:w="1934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Art.207 §3 kk w zw. z §2   </w:t>
            </w:r>
          </w:p>
        </w:tc>
        <w:tc>
          <w:tcPr>
            <w:tcW w:w="692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1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4390D" w:rsidRDefault="00B4390D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074" w:rsidRDefault="00D82074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52" w:rsidRDefault="002A0566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E4BAB">
        <w:rPr>
          <w:rFonts w:ascii="Times New Roman" w:hAnsi="Times New Roman" w:cs="Times New Roman"/>
          <w:b/>
          <w:sz w:val="24"/>
          <w:szCs w:val="24"/>
        </w:rPr>
        <w:t>akazanie</w:t>
      </w:r>
      <w:r w:rsidR="00E05438" w:rsidRPr="00F31C1C">
        <w:rPr>
          <w:rFonts w:ascii="Times New Roman" w:hAnsi="Times New Roman" w:cs="Times New Roman"/>
          <w:b/>
          <w:sz w:val="24"/>
          <w:szCs w:val="24"/>
        </w:rPr>
        <w:t xml:space="preserve"> opuszczenia lokalu zajmo</w:t>
      </w:r>
      <w:r w:rsidR="0007601D" w:rsidRPr="00F31C1C">
        <w:rPr>
          <w:rFonts w:ascii="Times New Roman" w:hAnsi="Times New Roman" w:cs="Times New Roman"/>
          <w:b/>
          <w:sz w:val="24"/>
          <w:szCs w:val="24"/>
        </w:rPr>
        <w:t>wanego wspólnie z pokrzywdzonym</w:t>
      </w:r>
      <w:r w:rsidR="0022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438" w:rsidRPr="00221291">
        <w:rPr>
          <w:rFonts w:ascii="Times New Roman" w:hAnsi="Times New Roman" w:cs="Times New Roman"/>
          <w:b/>
          <w:sz w:val="24"/>
          <w:szCs w:val="24"/>
        </w:rPr>
        <w:t>(art. 275a k</w:t>
      </w:r>
      <w:r w:rsidR="00221291">
        <w:rPr>
          <w:rFonts w:ascii="Times New Roman" w:hAnsi="Times New Roman" w:cs="Times New Roman"/>
          <w:b/>
          <w:sz w:val="24"/>
          <w:szCs w:val="24"/>
        </w:rPr>
        <w:t>.</w:t>
      </w:r>
      <w:r w:rsidR="00E05438" w:rsidRPr="00221291">
        <w:rPr>
          <w:rFonts w:ascii="Times New Roman" w:hAnsi="Times New Roman" w:cs="Times New Roman"/>
          <w:b/>
          <w:sz w:val="24"/>
          <w:szCs w:val="24"/>
        </w:rPr>
        <w:t>p</w:t>
      </w:r>
      <w:r w:rsidR="00221291">
        <w:rPr>
          <w:rFonts w:ascii="Times New Roman" w:hAnsi="Times New Roman" w:cs="Times New Roman"/>
          <w:b/>
          <w:sz w:val="24"/>
          <w:szCs w:val="24"/>
        </w:rPr>
        <w:t>.</w:t>
      </w:r>
      <w:r w:rsidR="00E05438" w:rsidRPr="00221291">
        <w:rPr>
          <w:rFonts w:ascii="Times New Roman" w:hAnsi="Times New Roman" w:cs="Times New Roman"/>
          <w:b/>
          <w:sz w:val="24"/>
          <w:szCs w:val="24"/>
        </w:rPr>
        <w:t>k</w:t>
      </w:r>
      <w:r w:rsidR="00221291">
        <w:rPr>
          <w:rFonts w:ascii="Times New Roman" w:hAnsi="Times New Roman" w:cs="Times New Roman"/>
          <w:b/>
          <w:sz w:val="24"/>
          <w:szCs w:val="24"/>
        </w:rPr>
        <w:t>.</w:t>
      </w:r>
      <w:r w:rsidR="00E05438" w:rsidRPr="00221291">
        <w:rPr>
          <w:rFonts w:ascii="Times New Roman" w:hAnsi="Times New Roman" w:cs="Times New Roman"/>
          <w:b/>
          <w:sz w:val="24"/>
          <w:szCs w:val="24"/>
        </w:rPr>
        <w:t>)</w:t>
      </w:r>
      <w:r w:rsidR="002F7F95">
        <w:rPr>
          <w:rFonts w:ascii="Times New Roman" w:hAnsi="Times New Roman" w:cs="Times New Roman"/>
          <w:b/>
          <w:sz w:val="24"/>
          <w:szCs w:val="24"/>
        </w:rPr>
        <w:t xml:space="preserve"> – zastosowanie środka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921"/>
        <w:gridCol w:w="922"/>
      </w:tblGrid>
      <w:tr w:rsidR="00C105AE" w:rsidTr="00741CFA">
        <w:tc>
          <w:tcPr>
            <w:tcW w:w="2093" w:type="dxa"/>
          </w:tcPr>
          <w:p w:rsidR="00C105AE" w:rsidRPr="00C105AE" w:rsidRDefault="00C105AE" w:rsidP="00C9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AE">
              <w:rPr>
                <w:rFonts w:ascii="Times New Roman" w:hAnsi="Times New Roman" w:cs="Times New Roman"/>
                <w:b/>
                <w:sz w:val="24"/>
                <w:szCs w:val="24"/>
              </w:rPr>
              <w:t>Lata</w:t>
            </w:r>
          </w:p>
        </w:tc>
        <w:tc>
          <w:tcPr>
            <w:tcW w:w="921" w:type="dxa"/>
          </w:tcPr>
          <w:p w:rsidR="00C105AE" w:rsidRPr="00B73D70" w:rsidRDefault="00C105AE" w:rsidP="00C9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22" w:type="dxa"/>
          </w:tcPr>
          <w:p w:rsidR="00C105AE" w:rsidRPr="00B73D70" w:rsidRDefault="00C105AE" w:rsidP="00C9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C105AE" w:rsidTr="00741CFA">
        <w:tc>
          <w:tcPr>
            <w:tcW w:w="2093" w:type="dxa"/>
          </w:tcPr>
          <w:p w:rsidR="00C105AE" w:rsidRPr="00C105AE" w:rsidRDefault="00C105AE" w:rsidP="00C93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AE">
              <w:rPr>
                <w:rFonts w:ascii="Times New Roman" w:hAnsi="Times New Roman" w:cs="Times New Roman"/>
                <w:b/>
                <w:sz w:val="24"/>
                <w:szCs w:val="24"/>
              </w:rPr>
              <w:t>L. zastosowanych środków</w:t>
            </w:r>
          </w:p>
        </w:tc>
        <w:tc>
          <w:tcPr>
            <w:tcW w:w="921" w:type="dxa"/>
          </w:tcPr>
          <w:p w:rsidR="00C105AE" w:rsidRDefault="00B73D70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922" w:type="dxa"/>
          </w:tcPr>
          <w:p w:rsidR="00C105AE" w:rsidRDefault="00B73D70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</w:tbl>
    <w:p w:rsidR="00C105AE" w:rsidRDefault="00C105AE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052" w:rsidRPr="00127000" w:rsidRDefault="00957052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17" w:rsidRPr="00127000" w:rsidRDefault="00715117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0"/>
          <w:szCs w:val="23"/>
        </w:rPr>
      </w:pPr>
      <w:r w:rsidRPr="00127000">
        <w:rPr>
          <w:bCs/>
          <w:i/>
          <w:sz w:val="20"/>
          <w:szCs w:val="23"/>
        </w:rPr>
        <w:lastRenderedPageBreak/>
        <w:t>Kodeks karny</w:t>
      </w:r>
    </w:p>
    <w:p w:rsidR="004C085C" w:rsidRPr="00127000" w:rsidRDefault="004C085C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3"/>
        </w:rPr>
      </w:pPr>
      <w:r w:rsidRPr="00127000">
        <w:rPr>
          <w:b/>
          <w:bCs/>
          <w:sz w:val="20"/>
          <w:szCs w:val="23"/>
        </w:rPr>
        <w:t xml:space="preserve">Art. 207. </w:t>
      </w:r>
      <w:r w:rsidRPr="00127000">
        <w:rPr>
          <w:sz w:val="20"/>
          <w:szCs w:val="23"/>
        </w:rPr>
        <w:t xml:space="preserve">§ 1. Kto znęca się fizycznie lub psychicznie nad osobą najbliższą lub nad inną osobą pozostającą w stałym lub przemijającym stosunku zależności od sprawcy albo nad małoletnim lub osobą nieporadną ze względu na jej stan psychiczny lub fizyczny, </w:t>
      </w:r>
      <w:r w:rsidR="00476777" w:rsidRPr="00127000">
        <w:rPr>
          <w:sz w:val="20"/>
          <w:szCs w:val="23"/>
        </w:rPr>
        <w:t xml:space="preserve"> </w:t>
      </w:r>
      <w:r w:rsidRPr="00127000">
        <w:rPr>
          <w:sz w:val="20"/>
          <w:szCs w:val="23"/>
        </w:rPr>
        <w:t xml:space="preserve">podlega karze pozbawienia wolności od 3 miesięcy do lat 5. </w:t>
      </w:r>
    </w:p>
    <w:p w:rsidR="004C085C" w:rsidRPr="00127000" w:rsidRDefault="004C085C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3"/>
        </w:rPr>
      </w:pPr>
      <w:r w:rsidRPr="00127000">
        <w:rPr>
          <w:sz w:val="20"/>
          <w:szCs w:val="23"/>
        </w:rPr>
        <w:t xml:space="preserve">§ 2. Jeżeli czyn określony w § 1 połączony jest ze stosowaniem szczególnego okrucieństwa, sprawca podlega karze pozbawienia wolności od roku do lat 10. </w:t>
      </w:r>
    </w:p>
    <w:p w:rsidR="004C085C" w:rsidRDefault="004C085C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3"/>
        </w:rPr>
      </w:pPr>
      <w:r w:rsidRPr="00127000">
        <w:rPr>
          <w:sz w:val="20"/>
          <w:szCs w:val="23"/>
        </w:rPr>
        <w:t>§ 3. Jeżeli następstwem czynu określonego w § 1 lub 2 jest targnięcie się pokrzywdzonego na własne życie, sprawca podlega karze pozbawienia wolności od lat 2 do 12.</w:t>
      </w:r>
    </w:p>
    <w:p w:rsidR="00A01F11" w:rsidRDefault="00A01F11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3"/>
        </w:rPr>
      </w:pPr>
    </w:p>
    <w:p w:rsidR="00A01F11" w:rsidRDefault="00A01F11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3"/>
        </w:rPr>
      </w:pPr>
      <w:r w:rsidRPr="00A01F11">
        <w:rPr>
          <w:i/>
          <w:sz w:val="20"/>
          <w:szCs w:val="23"/>
        </w:rPr>
        <w:t>Kodeks postępowania karnego</w:t>
      </w:r>
    </w:p>
    <w:p w:rsidR="00A01F11" w:rsidRPr="00A01F11" w:rsidRDefault="00454F1F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54F1F">
        <w:rPr>
          <w:b/>
          <w:sz w:val="20"/>
        </w:rPr>
        <w:t>Art. 275a</w:t>
      </w:r>
      <w:r>
        <w:rPr>
          <w:sz w:val="20"/>
        </w:rPr>
        <w:t xml:space="preserve"> </w:t>
      </w:r>
      <w:r w:rsidR="00A01F11" w:rsidRPr="00A01F11">
        <w:rPr>
          <w:sz w:val="20"/>
        </w:rPr>
        <w:t>§ 1. Tytułem środka zapobiegawczego można nakazać oskarżonemu o przestępstwo popełnione z użyciem przemocy na szkodę osoby wspólnie zamieszkującej okresowe opuszczenie lokalu zajmowanego wspólnie z pokrzywdzonym, jeżeli zachodzi uzasadniona obawa, że oskarżony ponownie popełni przestępstwo z użyciem przemocy wobec tej osoby, zwłaszcza gdy popełnieniem takiego przestępstwa groził.</w:t>
      </w:r>
    </w:p>
    <w:p w:rsidR="00A0078D" w:rsidRPr="00127000" w:rsidRDefault="00A0078D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093" w:rsidRPr="00A275E7" w:rsidRDefault="007F0CAB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E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par. 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</w:p>
    <w:p w:rsidR="00B1144B" w:rsidRPr="00127000" w:rsidRDefault="00B1144B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Prawomocne skazania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696"/>
        <w:gridCol w:w="696"/>
        <w:gridCol w:w="696"/>
        <w:gridCol w:w="696"/>
        <w:gridCol w:w="696"/>
      </w:tblGrid>
      <w:tr w:rsidR="00B4390D" w:rsidRPr="00127000" w:rsidTr="006C5933">
        <w:trPr>
          <w:trHeight w:val="315"/>
        </w:trPr>
        <w:tc>
          <w:tcPr>
            <w:tcW w:w="1950" w:type="dxa"/>
            <w:vMerge w:val="restart"/>
            <w:shd w:val="clear" w:color="auto" w:fill="D9D9D9" w:themeFill="background1" w:themeFillShade="D9"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</w:tr>
      <w:tr w:rsidR="00FB702B" w:rsidRPr="00127000" w:rsidTr="006C5933">
        <w:trPr>
          <w:trHeight w:val="300"/>
        </w:trPr>
        <w:tc>
          <w:tcPr>
            <w:tcW w:w="1950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FB702B" w:rsidRPr="00127000" w:rsidTr="006C5933">
        <w:trPr>
          <w:trHeight w:val="300"/>
        </w:trPr>
        <w:tc>
          <w:tcPr>
            <w:tcW w:w="1950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02B" w:rsidRPr="00127000" w:rsidTr="006C5933">
        <w:trPr>
          <w:trHeight w:val="300"/>
        </w:trPr>
        <w:tc>
          <w:tcPr>
            <w:tcW w:w="1950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02B" w:rsidRPr="00127000" w:rsidTr="006C5933">
        <w:trPr>
          <w:trHeight w:val="300"/>
        </w:trPr>
        <w:tc>
          <w:tcPr>
            <w:tcW w:w="1950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390D" w:rsidRPr="00127000" w:rsidTr="006C5933">
        <w:trPr>
          <w:trHeight w:val="300"/>
        </w:trPr>
        <w:tc>
          <w:tcPr>
            <w:tcW w:w="1950" w:type="dxa"/>
            <w:vMerge/>
            <w:shd w:val="clear" w:color="auto" w:fill="D9D9D9" w:themeFill="background1" w:themeFillShade="D9"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B4390D" w:rsidRPr="00127000" w:rsidRDefault="00B4390D" w:rsidP="00C938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liczbach bezwzględnych</w:t>
            </w:r>
          </w:p>
        </w:tc>
      </w:tr>
      <w:tr w:rsidR="00FB702B" w:rsidRPr="00127000" w:rsidTr="00FD28CD">
        <w:trPr>
          <w:trHeight w:val="405"/>
        </w:trPr>
        <w:tc>
          <w:tcPr>
            <w:tcW w:w="1950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Art.152 §1 kk              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02B" w:rsidRPr="00127000" w:rsidTr="00FD28CD">
        <w:trPr>
          <w:trHeight w:val="300"/>
        </w:trPr>
        <w:tc>
          <w:tcPr>
            <w:tcW w:w="1950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Art.152 §2 kk              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702B" w:rsidRPr="00127000" w:rsidTr="00FD28CD">
        <w:trPr>
          <w:trHeight w:val="315"/>
        </w:trPr>
        <w:tc>
          <w:tcPr>
            <w:tcW w:w="1950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Art.152 §3 kk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702B" w:rsidRPr="00127000" w:rsidTr="00FD28CD">
        <w:trPr>
          <w:trHeight w:val="315"/>
        </w:trPr>
        <w:tc>
          <w:tcPr>
            <w:tcW w:w="1950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Art.153 §1 kk              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702B" w:rsidRPr="00127000" w:rsidTr="00FD28CD">
        <w:trPr>
          <w:trHeight w:val="315"/>
        </w:trPr>
        <w:tc>
          <w:tcPr>
            <w:tcW w:w="1950" w:type="dxa"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Art.153 §2 kk              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FB702B" w:rsidRPr="00127000" w:rsidRDefault="00FB702B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8CD" w:rsidRPr="00127000" w:rsidRDefault="00FD28CD" w:rsidP="00C93801">
      <w:pPr>
        <w:pStyle w:val="Default"/>
        <w:rPr>
          <w:b/>
          <w:bCs/>
          <w:sz w:val="23"/>
          <w:szCs w:val="23"/>
        </w:rPr>
      </w:pPr>
    </w:p>
    <w:p w:rsidR="008A075B" w:rsidRPr="00127000" w:rsidRDefault="008A075B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sz w:val="20"/>
          <w:szCs w:val="20"/>
        </w:rPr>
      </w:pPr>
      <w:r w:rsidRPr="00127000">
        <w:rPr>
          <w:bCs/>
          <w:i/>
          <w:sz w:val="20"/>
          <w:szCs w:val="20"/>
        </w:rPr>
        <w:t>Kodeks karny</w:t>
      </w:r>
    </w:p>
    <w:p w:rsidR="00FD28CD" w:rsidRPr="00127000" w:rsidRDefault="00FD28CD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152. </w:t>
      </w:r>
      <w:r w:rsidRPr="00127000">
        <w:rPr>
          <w:sz w:val="20"/>
          <w:szCs w:val="20"/>
        </w:rPr>
        <w:t xml:space="preserve">§ 1. Kto za zgodą kobiety przerywa jej ciążę z naruszeniem przepisów ustawy, podlega karze pozbawienia wolności do lat 3. </w:t>
      </w:r>
    </w:p>
    <w:p w:rsidR="00FD28CD" w:rsidRPr="00127000" w:rsidRDefault="00FD28CD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2. Tej samej karze podlega, kto udziela kobiecie ciężarnej pomocy w przerwaniu ciąży z naruszeniem przepisów ustawy lub ją do tego nakłania. </w:t>
      </w:r>
    </w:p>
    <w:p w:rsidR="00B4390D" w:rsidRPr="00127000" w:rsidRDefault="00FD28CD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§ 3. Kto dopuszcza się czynu określonego w § 1 lub 2, gdy dziecko poczęte osiągnęło zdolność do </w:t>
      </w:r>
      <w:r w:rsidR="004B1D15" w:rsidRPr="00127000">
        <w:rPr>
          <w:sz w:val="20"/>
          <w:szCs w:val="20"/>
        </w:rPr>
        <w:t>s</w:t>
      </w:r>
      <w:r w:rsidRPr="00127000">
        <w:rPr>
          <w:sz w:val="20"/>
          <w:szCs w:val="20"/>
        </w:rPr>
        <w:t>amodzielnego życia poza organizmem kobiety ciężarnej, podlega karze pozbawienia wolności od 6 miesięcy do lat 8.</w:t>
      </w:r>
    </w:p>
    <w:p w:rsidR="00D45DF3" w:rsidRPr="00127000" w:rsidRDefault="00D45DF3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45DF3" w:rsidRPr="00127000" w:rsidRDefault="00D45DF3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b/>
          <w:bCs/>
          <w:sz w:val="20"/>
          <w:szCs w:val="20"/>
        </w:rPr>
        <w:t xml:space="preserve">Art. 153. </w:t>
      </w:r>
      <w:r w:rsidRPr="00127000">
        <w:rPr>
          <w:sz w:val="20"/>
          <w:szCs w:val="20"/>
        </w:rPr>
        <w:t xml:space="preserve">§ 1. Kto stosując przemoc wobec kobiety ciężarnej lub w inny sposób bez jej zgody przerywa ciążę albo przemocą, groźbą bezprawną lub podstępem doprowadza kobietę ciężarną do przerwania ciąży, </w:t>
      </w:r>
    </w:p>
    <w:p w:rsidR="00D45DF3" w:rsidRPr="00127000" w:rsidRDefault="00D45DF3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 xml:space="preserve">podlega karze pozbawienia wolności od 6 miesięcy do lat 8. </w:t>
      </w:r>
    </w:p>
    <w:p w:rsidR="00D45DF3" w:rsidRPr="00127000" w:rsidRDefault="00D45DF3" w:rsidP="00C938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27000">
        <w:rPr>
          <w:sz w:val="20"/>
          <w:szCs w:val="20"/>
        </w:rPr>
        <w:t>§ 2. Kto dopuszcza się czynu określonego w § 1, gdy dziecko poczęte osiągnęło zdolność do samodzielnego życia poza organizmem kobiety ciężarnej, podlega karze pozbawienia wolności od roku do lat 10.</w:t>
      </w:r>
    </w:p>
    <w:p w:rsidR="006E75E7" w:rsidRPr="00127000" w:rsidRDefault="006E75E7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E7" w:rsidRPr="00A275E7" w:rsidRDefault="00A275E7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E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par. 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99</w:t>
      </w:r>
    </w:p>
    <w:p w:rsidR="008673B1" w:rsidRPr="00127000" w:rsidRDefault="008673B1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Dane dot. Policji</w:t>
      </w:r>
    </w:p>
    <w:p w:rsidR="008D3FBD" w:rsidRPr="00127000" w:rsidRDefault="008D3FBD" w:rsidP="00C9380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 xml:space="preserve">W 2012 r. 43 funkcjonariuszom Policji przedstawiono 60 zarzutów popełnienia przestępstw, polegających na użyciu przemocy lub niedopełnieniu obowiązków poprzez niepodjęcie </w:t>
      </w:r>
      <w:r w:rsidRPr="00127000">
        <w:rPr>
          <w:rFonts w:ascii="Times New Roman" w:hAnsi="Times New Roman" w:cs="Times New Roman"/>
          <w:sz w:val="24"/>
          <w:szCs w:val="24"/>
        </w:rPr>
        <w:lastRenderedPageBreak/>
        <w:t>działań w celu przeciwdziałania stosowaniu przemocy przez innego policjanta. W tym</w:t>
      </w:r>
      <w:r w:rsidR="00F02DC3" w:rsidRPr="00127000">
        <w:rPr>
          <w:rFonts w:ascii="Times New Roman" w:hAnsi="Times New Roman" w:cs="Times New Roman"/>
          <w:sz w:val="24"/>
          <w:szCs w:val="24"/>
        </w:rPr>
        <w:t xml:space="preserve"> samym</w:t>
      </w:r>
      <w:r w:rsidRPr="00127000">
        <w:rPr>
          <w:rFonts w:ascii="Times New Roman" w:hAnsi="Times New Roman" w:cs="Times New Roman"/>
          <w:sz w:val="24"/>
          <w:szCs w:val="24"/>
        </w:rPr>
        <w:t xml:space="preserve"> roku wydano 2 prawomocne wyroki skazujące 5 funkcjonariuszy Policji (w tym 1 wyrok skazujący 4 policjantów na kary pozbawienia wolności w zawieszeniu i zakaz wykonywania zawodu oraz 1 warunkowo umarzający postępowanie wobec 1 policjanta).</w:t>
      </w:r>
    </w:p>
    <w:p w:rsidR="008D3FBD" w:rsidRPr="00127000" w:rsidRDefault="008D3FBD" w:rsidP="00C9380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 xml:space="preserve">Dane za 2013 r. wskazują, że w sprawach dotyczących stosowania przemocy przez funkcjonariuszy w związku z wykonywaniem obowiązków służbowych miało miejsce: 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531 przypadków złożenia zawiadomi</w:t>
      </w:r>
      <w:r w:rsidR="001555DA">
        <w:rPr>
          <w:rFonts w:ascii="Times New Roman" w:hAnsi="Times New Roman" w:cs="Times New Roman"/>
          <w:sz w:val="24"/>
          <w:szCs w:val="24"/>
        </w:rPr>
        <w:t>enia o popełnieniu przestępstwa;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33 przy</w:t>
      </w:r>
      <w:r w:rsidR="001555DA">
        <w:rPr>
          <w:rFonts w:ascii="Times New Roman" w:hAnsi="Times New Roman" w:cs="Times New Roman"/>
          <w:sz w:val="24"/>
          <w:szCs w:val="24"/>
        </w:rPr>
        <w:t>padki odmowy wszczęcia śledztwa;</w:t>
      </w:r>
    </w:p>
    <w:p w:rsidR="008D3FBD" w:rsidRPr="00127000" w:rsidRDefault="001555DA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498 prowadzonych śledztw;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291 wydanych posta</w:t>
      </w:r>
      <w:r w:rsidR="001555DA">
        <w:rPr>
          <w:rFonts w:ascii="Times New Roman" w:hAnsi="Times New Roman" w:cs="Times New Roman"/>
          <w:sz w:val="24"/>
          <w:szCs w:val="24"/>
        </w:rPr>
        <w:t>nowień o umorzeniu postępowania;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 xml:space="preserve">przedstawienie w 20 śledztwach 42 podejrzanym </w:t>
      </w:r>
      <w:r w:rsidR="001555DA">
        <w:rPr>
          <w:rFonts w:ascii="Times New Roman" w:hAnsi="Times New Roman" w:cs="Times New Roman"/>
          <w:sz w:val="24"/>
          <w:szCs w:val="24"/>
        </w:rPr>
        <w:t>policjantom łącznie 57 zarzutów;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skierowanie 26 aktów oskarżenia (dot. zdarzeń z 2012 i 2013 r.) przeciwko łączni</w:t>
      </w:r>
      <w:r w:rsidR="001555DA">
        <w:rPr>
          <w:rFonts w:ascii="Times New Roman" w:hAnsi="Times New Roman" w:cs="Times New Roman"/>
          <w:sz w:val="24"/>
          <w:szCs w:val="24"/>
        </w:rPr>
        <w:t>e 47 policjantom o 57 czynów;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5 wyroków, w których sądy uznały winnymi popełnienia przestępstwa 6 funkcjonariuszy Policji, (w tym 3 wyroki skazujące 4 policjantów na kary pozbawienia wolności w zawieszeniu, grzywnę i zakaz wykonywania zawodu oraz 2 warunkowe umorzenia wobec 2 policjantów).</w:t>
      </w:r>
    </w:p>
    <w:p w:rsidR="008D3FBD" w:rsidRPr="00127000" w:rsidRDefault="008D3FBD" w:rsidP="00C9380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 xml:space="preserve"> W pierwszym półroczu 2014 r. zgodnie z posiadanymi przez Policję danymi miało miejsce: 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314  zawiado</w:t>
      </w:r>
      <w:r w:rsidR="001555DA">
        <w:rPr>
          <w:rFonts w:ascii="Times New Roman" w:hAnsi="Times New Roman" w:cs="Times New Roman"/>
          <w:sz w:val="24"/>
          <w:szCs w:val="24"/>
        </w:rPr>
        <w:t>mień o popełnieniu przestępstwa;</w:t>
      </w:r>
    </w:p>
    <w:p w:rsidR="008D3FBD" w:rsidRPr="00127000" w:rsidRDefault="001555DA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odmów wszczęcia śledztwa;</w:t>
      </w:r>
    </w:p>
    <w:p w:rsidR="008D3FBD" w:rsidRPr="00127000" w:rsidRDefault="001555DA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 prowadzonych śledztw;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162 wydane postano</w:t>
      </w:r>
      <w:r w:rsidR="001555DA">
        <w:rPr>
          <w:rFonts w:ascii="Times New Roman" w:hAnsi="Times New Roman" w:cs="Times New Roman"/>
          <w:sz w:val="24"/>
          <w:szCs w:val="24"/>
        </w:rPr>
        <w:t>wienia o umorzeniu postępowania;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przedstawienie w 16 śledztwach 25 podejrzanym policjantom łącznie 57 zarzutów,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>skierowanie 13 aktów oskarżenia (dotyczących zdarzeń z lat 2012-2014) przeciwko łączni</w:t>
      </w:r>
      <w:r w:rsidR="001555DA">
        <w:rPr>
          <w:rFonts w:ascii="Times New Roman" w:hAnsi="Times New Roman" w:cs="Times New Roman"/>
          <w:sz w:val="24"/>
          <w:szCs w:val="24"/>
        </w:rPr>
        <w:t>e 20 policjantom o 26 czynów;</w:t>
      </w:r>
    </w:p>
    <w:p w:rsidR="008D3FBD" w:rsidRPr="00127000" w:rsidRDefault="008D3FBD" w:rsidP="00C93801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000">
        <w:rPr>
          <w:rFonts w:ascii="Times New Roman" w:hAnsi="Times New Roman" w:cs="Times New Roman"/>
          <w:sz w:val="24"/>
          <w:szCs w:val="24"/>
        </w:rPr>
        <w:t xml:space="preserve">1 wyrok, którym sąd uznał winnym popełnienia przestępstwa 1 funkcjonariusza Policji (jednocześnie warunkowo umarzając postępowanie). </w:t>
      </w:r>
    </w:p>
    <w:p w:rsidR="00BF5176" w:rsidRPr="00127000" w:rsidRDefault="00BF5176" w:rsidP="00C93801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176" w:rsidRPr="00127000" w:rsidRDefault="00BF5176" w:rsidP="00C9380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Dane dot. SW</w:t>
      </w:r>
    </w:p>
    <w:p w:rsidR="008D3FBD" w:rsidRPr="00127000" w:rsidRDefault="008D3FBD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C89" w:rsidRPr="00127000" w:rsidRDefault="00231C89" w:rsidP="00C9380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2700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Dane statystyczne w zakresie ilości zarzutów zawartych w rozpatrywanych przez poszczególne organy Służby Więziennej skargach osób osadzonych w przedmiocie traktowania przez funkcjonariuszy i pracowników Służby Więziennej</w:t>
      </w:r>
    </w:p>
    <w:p w:rsidR="00231C89" w:rsidRPr="00127000" w:rsidRDefault="00231C89" w:rsidP="00C938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231C89" w:rsidRPr="00127000" w:rsidRDefault="00231C89" w:rsidP="00C938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231C89" w:rsidRPr="00127000" w:rsidRDefault="00231C89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roku 2009</w:t>
      </w:r>
      <w:r w:rsidRPr="00127000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osoby wnoszące skargi formułowały zarzuty dotyczące: zaniechania określonego działania (1.014, w tym 7 zasadnych), agresji werbalnej (680, w tym 1 zasadna), sporządzenia wniosku o wymierzenie kary dyscyplinarnej (595, brak zasadnych), sposobu przeprowadzenia kontroli osobistej/celi mieszkalnej (488, w tym 2 zasadne), zapewnienia bezpieczeństwa (278, w tym 1 zasadna), pobicia (164, brak zasadnych), użycia środków przymusu bezpośredniego (68, brak zasadnych). Wśród zarzutów zawartych w skargach na traktowanie przez funkcjonariuszy i pracowników SW odnotowano także 7 zarzutów dotyczących dyskryminacji na tle rasowym i etnicznym, 69 zarzutów dotyczących dyskryminacji na tle wyznaniowym oraz 52 zarzuty dotyczące dyskryminacji na tle orientacji seksualnej. Ogółem wniesiono 128 zarzutów dotyczących dyskryminacji na tle rasowym i etnicznym, wyznaniowym i orientacji seksualnej, w tym 5 skarg wnieśli członkowie mniejszości romskiej. Jedną z tych skarg, dotyczącą wyżywienia, uznano za zasadną (CZSW). Ponadto organy Służby Więziennej udzieliły wyjaśnień i informacji w 42 sprawach dotyczących 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dyskryminacji na tle rasowym i etnicznym (11), wyznaniowym (16) i orientacji seksualnej (15). </w:t>
      </w:r>
    </w:p>
    <w:p w:rsidR="00231C89" w:rsidRPr="00127000" w:rsidRDefault="00231C89" w:rsidP="00C9380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</w:pPr>
    </w:p>
    <w:p w:rsidR="00231C89" w:rsidRPr="00127000" w:rsidRDefault="00231C89" w:rsidP="00C9380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270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roku 2010</w:t>
      </w:r>
      <w:r w:rsidRPr="001270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osadzeni wnoszący skargi na niewłaściwe traktowanie ich przez pracowników i funkcjonariuszy Służby Więziennej, formułowali zarzuty dotyczące: zaniechania określonego działania (843, w tym 11 zasadnych), agresji werbalnej (846, w tym nie uznano żadnego zarzutu za uzasadniony), sporządzenia wniosku o wymierzenie kary dyscyplinarnej (753, w tym 2 zasadne), sposobu przeprowadzenia kontroli osobistej/celi mieszkalnej (680, brak zasadnych), zapewnienia bezpieczeństwa (293, brak zasadnych), pobicia (231, w tym 1 zasadna), użycia środków przymusu bezpośredniego (124, brak zasadnych). Wśród zarzutów zawartych w skargach na traktowanie przez funkcjonariuszy i pracowników SW odnotowano także 20 zarzutów dotyczących dyskryminacji na tle rasowym i etnicznym (brak zasadnych), 37 zarzutów dotyczących dyskryminacji na tle wyznaniowym (jedna zasadna) oraz 8 zarzutów dotyczących dyskryminacji na tle orientacji seksualnej (brak zasadnych).</w:t>
      </w:r>
    </w:p>
    <w:p w:rsidR="00231C89" w:rsidRPr="00127000" w:rsidRDefault="00231C89" w:rsidP="00C9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31C89" w:rsidRPr="00127000" w:rsidRDefault="00231C89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2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2011 roku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osadzeni podnieśli: 106 zarzutów, dotyczących użycia środków przymusu bezpośredniego, z czego 1 uznano za zasadny, 277 zarzutów dotyczących pobicia, spośród których żaden nie został uznany za zasadny, 656 zarzutów, dotyczących agresji werbalnej, z czego 1 został uznany za zasadny. Na zaniechanie określonego działania przez funkcjonariuszy i pracowników osadzeni wnieśli 787 zarzutów, spośród których 3 zostały uznane za zasadne, 828 zarzuty dotyczyły sporządzenia wniosku o wymierzenie kary dyscyplinarnej (w tym 1 zarzut zasadny), 491 zarzutów dotyczyło zapewnienia bezpieczeństwa – nie uznano żadnego z nich za zasadny, 675 dotyczyło sposobu przeprowadzenia kontroli osobistej lub celi mieszkalnej i 1 zarzut z tej grupy uznano za zasadny. Zarzuty, dotyczące innych form niewłaściwego traktowania skarżący podnieśli 3792 razy. W zakresie dyskryminacji na tle rasowym i etnicznym osadzeni skarżyli się 15 razy, dyskryminacji na tle wyznaniowym 41 razy, dyskryminacji na tle orientacji seksualnej 14 – w tym zakresie nie uznano żadnych zarzutów za zasadne. </w:t>
      </w:r>
    </w:p>
    <w:p w:rsidR="00231C89" w:rsidRPr="00127000" w:rsidRDefault="00231C89" w:rsidP="00C9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31C89" w:rsidRPr="00127000" w:rsidRDefault="00231C89" w:rsidP="00C938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Wśród zarzutów, dotyczących traktowania przez funkcjonariuszy i pracowników Służby Więziennej </w:t>
      </w:r>
      <w:r w:rsidRPr="0012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2012 roku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ich problematyka dotyczyła: użycia środków przymusu bezpośredniego – 78 (w tym jeden zarzut uznano za zasadny), pobicia – 290, agresji werbalnej – 636, zaniechania określonego działania – 821 (w tym 7 zarzutów uznano za uzasadnione), sporządzenia wniosku o wymierzenie kary dyscyplinarnej – 788 (w tym 6 zarzutów uznano za uzasadnione), zapewnienia bezpieczeństwa – 553, sposobu przeprowadzania kontroli osobistej/celi mieszkalnej – 684 (w tym jeden zarzut uznano za uzasadniony), dyskryminacji na tle rasowym i etnicznym – 14, dyskryminacji na tle wyznaniowym – 51, dyskryminacji na tle orientacji seksualnej – 6, innych form niewłaściwego traktowania – 4494 (w tym 5 zarzutów uznano za uzasadnione). Dodatkowo, organy Służby Więziennej udzieliły wyjaśnień i informacji w zakresie 1521 zarzutów dotyczących traktowania osadzonych przez funkcjonariuszy i pracowników SW, m.in. w zakresie użycia środków przymusu bezpośredniego (44), pobicia (80), agresji werbalnej (107), zaniechania określonego działania (121), sporządzenia wniosku o wymierzenie kary dyscyplinarnej (240), zapewnienia bezpieczeństwa (90), sposobu przeprowadzania kontroli osobistej/celi mieszkalnej (98), dyskryminacji na tle rasowym i etnicznym 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(4), dyskryminacji na tle wyznaniowym (11), innych form niewłaściwego traktowania (72).</w:t>
      </w:r>
    </w:p>
    <w:p w:rsidR="00231C89" w:rsidRPr="00127000" w:rsidRDefault="00231C89" w:rsidP="00C9380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31C89" w:rsidRPr="00127000" w:rsidRDefault="00231C89" w:rsidP="00C93801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270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Wśród zarzutów rozpatrzonych </w:t>
      </w:r>
      <w:r w:rsidRPr="0012700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 2013 roku</w:t>
      </w:r>
      <w:r w:rsidRPr="001270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kierowników jednostek organizacyjnych SW, w zakresie problematyki traktowania osadzonych przez funkcjonariuszy badano okoliczności: użycia środków przymusu bezpośredniego – 70 (żaden zarzut nie został uznany za zasadny), pobicia – 215 (1 zarzut został uznany za zasadny), agresji werbalnej – 791 (2 zarzuty uznano za zasadne), zaniechania określonego działania – 1336 (w tym 8 zarzutów uznano za uzasadnione), sporządzenia wniosku o wymierzenie kary dyscyplinarnej – 785 (w tym 3 zarzuty uznano za uzasadnione), niezapewnienia bezpieczeństwa – 514 (1 zarzut został uznany za zasadny), sposobu przeprowadzania kontroli osobistej/celi mieszkalnej – 764 (w tym 2 zarzuty uznano za uzasadnione), dyskryminacji na tle rasowym i etnicznym – 17, dyskryminacji na tle wyznaniowym – 45, dyskryminacji na tle orientacji seksualnej – 5, innych form niewłaściwego traktowania – 4.750 (w tym 4 zarzuty uznano za uzasadnione). </w:t>
      </w:r>
    </w:p>
    <w:p w:rsidR="00231C89" w:rsidRPr="00127000" w:rsidRDefault="00231C89" w:rsidP="00C938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F5176" w:rsidRPr="00127000" w:rsidRDefault="00231C89" w:rsidP="00C938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2014 roku</w:t>
      </w:r>
      <w:r w:rsidRPr="001270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odnotowano największy wzrost ilości stawianych zarzutów przez osoby osadzone w zakładach karnych i aresztach śledczych – o 1.048 (o 11,28% w porównaniu do roku 2013) – w zakresie zarzutów związanych z traktowaniem przez funkcjonariuszy i pracowników Służby Więziennej. Wśród zarzutów rozpatrzonych przez kierowników jednostek organizacyjnych SW we własnym zakresie, w przedmiocie tej problematyki badano okoliczności: użycia środków przymusu bezpośredniego – 84 (żaden zarzut nie został uznany za zasadny), pobicia – 261 (żaden zarzut nie został uznany za zasadny), agresji werbalnej – 816 (3 zarzuty uznano za zasadne), zaniechania określonego działania – 1.739 (w tym 10 zarzutów uznano za uzasadnione), sporządzenia wniosku o wymierzenie kary dyscyplinarnej – 908 (w tym 2 zarzuty uznano za uzasadnione), zapewnienia bezpieczeństwa – 628 (żaden zarzut nie został uznany za zasadny), sposobu przeprowadzania kontroli osobistej/celi mieszkalnej – 854 (w tym 1 zarzut uznano za uzasadniony), dyskryminacji na tle rasowym i etnicznym – 18 (żaden zarzut nie został uznany za zasadny), dyskryminacji na tle wyznaniowym – 41 (w tym 2 zarzuty uznano za uzasadnione), dyskryminacji na tle orientacji seksualnej – 8 (żaden zarzut nie został uznany za zasadny), innych form niewłaściwego traktowania – 4.983 (w tym 3 zarzuty uznano za uzasadnione).</w:t>
      </w:r>
    </w:p>
    <w:p w:rsidR="00C93801" w:rsidRDefault="00C93801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7BA" w:rsidRPr="008E37BA" w:rsidRDefault="008E37BA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7B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par. 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103</w:t>
      </w:r>
    </w:p>
    <w:p w:rsidR="001B0D77" w:rsidRPr="00553226" w:rsidRDefault="001B0D77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553226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Kodeks karny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93a</w:t>
      </w:r>
      <w:r w:rsidRPr="00C93801">
        <w:rPr>
          <w:rFonts w:ascii="Times New Roman" w:hAnsi="Times New Roman" w:cs="Times New Roman"/>
          <w:sz w:val="20"/>
          <w:szCs w:val="20"/>
        </w:rPr>
        <w:t>. § 1. Środkami zabezpieczającymi są: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1) elektroniczna kontrola miejsca pobytu,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2) terapia,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3) terapia uzależnień,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4) pobyt w zakładzie psychiatrycznym.</w:t>
      </w: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2. Jeżeli ustawa tak stanowi, tytułem środka zabezpieczającego można orzec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nakaz i zakazy określone w art. 39 pkt 2–3.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93b</w:t>
      </w:r>
      <w:r w:rsidRPr="00C93801">
        <w:rPr>
          <w:rFonts w:ascii="Times New Roman" w:hAnsi="Times New Roman" w:cs="Times New Roman"/>
          <w:sz w:val="20"/>
          <w:szCs w:val="20"/>
        </w:rPr>
        <w:t>. §1. Sąd może orzec środek zabezpieczający, gdy jest to konieczne,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aby zapobiec ponownemu popełnieniu przez sprawcę czynu zabronionego, a inne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środki prawne określone w tym kodeksie lub orzeczone na podstawie innych ustaw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nie są wystarczające. Środek zabezpieczający, o którym mowa w art. 93a § 1 pkt 4,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można orzec jedynie, aby zapobiec ponownemu popełnieniu przez sprawcę czynu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zabronionego o znacznej społecznej szkodliwości.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lastRenderedPageBreak/>
        <w:t>§ 2. Sąd uchyla środek zabezpieczający, gdy dalsze jego stosowanie nie jest już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konieczne.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3. Środek zabezpieczający i sposób jego wykonywania powinien być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odpowiedni do stopnia społecznej szkodliwości czynu zabronionego, który sprawca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może popełnić, oraz prawdopodobieństwa jego popełnienia, a także uwzględniać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potrzeby i postępy w terapii lub terapii uzależnień. Sąd może zmienić orzeczony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wobec sprawcy środek zabezpieczający lub sposób jego wykonywania, jeżeli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poprzednio orzeczony środek stał się nieodpowiedni lub jego wykonywanie nie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możliwe.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4. Wobec tego samego sprawcy można orzec więcej niż jeden środek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zabezpieczający; przepisy § 1 i 3 stosuje się, biorąc pod uwagę wszystkie orzekane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środki zabezpieczające.</w:t>
      </w: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5. Sąd orzeka pobyt w zakładzie psychiatrycznym tylko wtedy, gdy ustawa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tak stanowi.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93c</w:t>
      </w:r>
      <w:r w:rsidRPr="00C93801">
        <w:rPr>
          <w:rFonts w:ascii="Times New Roman" w:hAnsi="Times New Roman" w:cs="Times New Roman"/>
          <w:sz w:val="20"/>
          <w:szCs w:val="20"/>
        </w:rPr>
        <w:t>. Środki zabezpieczające można orzec wobec sprawcy: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1) co do którego umorzono postępowanie o czyn zabroniony popełniony w stanie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niepoczytalności określonej w art. 31 § 1,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2) w razie skazania za przestępstwo popełnione w stanie ograniczonej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poczytalności określonej w art. 31 § 2,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3) w razie skazania za przestępstwo określone w art. 148, art. 156, art. 197,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art. 198, art. 199 § 2 lub art. 200 § 1, popełnione w związku z zaburzeniem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preferencji seksualnych,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4) w razie skazania na karę pozbawienia wolności bez warunkowego jej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zawieszenia za umyślne przestępstwo określone w rozdziale XIX, XXIII, XXV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lub XXVI, popełnione w związku z zaburzeniem osobowości o takim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charakterze lub nasileniu, że zachodzi co najmniej wysokie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prawdopodobieństwo popełnienia czynu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zabronionego z użyciem przemocy lub</w:t>
      </w:r>
      <w:r w:rsidR="000744E7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groźbą jej użycia,</w:t>
      </w: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5) w razie skazania za przestępstwo popełnione w związku z uzależnieniem od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alkoholu, środka odurzającego lub innego podobnie działającego środka.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E65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93d</w:t>
      </w:r>
      <w:r w:rsidRPr="00C93801">
        <w:rPr>
          <w:rFonts w:ascii="Times New Roman" w:hAnsi="Times New Roman" w:cs="Times New Roman"/>
          <w:sz w:val="20"/>
          <w:szCs w:val="20"/>
        </w:rPr>
        <w:t>. § 1. Czasu stosowania środka zabezpieczającego nie określa się</w:t>
      </w:r>
      <w:r w:rsidR="008D087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 góry.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2. Uchylając środek zabezpieczający w postaci pobytu w zakładzie</w:t>
      </w:r>
      <w:r w:rsidR="008D087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psychiatrycznym, sąd może orzec jeden lub więcej ze środków zabezpieczających,</w:t>
      </w:r>
      <w:r w:rsidR="008D087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o których mowa w art. 93a § 1 pkt 1–3.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3. Sąd ustala potrzebę i możliwości wykonania orzeczonego środka</w:t>
      </w:r>
      <w:r w:rsidR="008D087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zabezpieczającego nie wcześniej niż na 6 miesięcy przed przewidywanym</w:t>
      </w:r>
      <w:r w:rsidR="008D087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warunkowym zwolnieniem lub odbyciem kary pozbawienia wolności.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4. Jeżeli wobec sprawcy wykonywana jest kara pozbawienia wolności, środki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zabezpieczające, o których mowa w art. 93a § 1 pkt 1–3, można orzec również do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czasu wykonania tej kary, jednak nie wcześniej niż na 6 miesięcy przed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przewidywanym warunkowym zwolnieniem lub odbyciem kary pozbawienia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wolności.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5. Jeżeli sprawca został skazany na karę pozbawienia wolności bez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warunkowego zawieszenia jej wykonania, karę 25 lat pozbawienia wolności lub karę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dożywotniego pozbawienia wolności, orzeczony środek zabezpieczający stosuje się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po odbyciu kary lub warunkowym zwolnieniu, chyba że ustawa stanowi inaczej.</w:t>
      </w: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6. Jeżeli zachowanie sprawcy po uchyleniu środka zabezpieczającego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wskazuje, że zachodzi konieczność stosowania środków zabezpieczających, sąd, nie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później niż w ciągu 3 lat od uchylenia środka, może ponownie orzec ten sam środek</w:t>
      </w:r>
      <w:r w:rsidR="00E772B8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zabezpieczający lub inny środek, o którym mowa w art. 93a § 1 pkt 1–3.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93e.</w:t>
      </w:r>
      <w:r w:rsidRPr="00C93801">
        <w:rPr>
          <w:rFonts w:ascii="Times New Roman" w:hAnsi="Times New Roman" w:cs="Times New Roman"/>
          <w:sz w:val="20"/>
          <w:szCs w:val="20"/>
        </w:rPr>
        <w:t xml:space="preserve"> Sprawca, wobec którego orzeczono elektroniczną kontrolę miejsca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pobytu, ma obowiązek poddania się nieprzerwanej kontroli miejsca swojego pobytu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sprawowanej za pomocą urządzeń technicznych, w tym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noszonego nadajnika.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93f</w:t>
      </w:r>
      <w:r w:rsidRPr="00C93801">
        <w:rPr>
          <w:rFonts w:ascii="Times New Roman" w:hAnsi="Times New Roman" w:cs="Times New Roman"/>
          <w:sz w:val="20"/>
          <w:szCs w:val="20"/>
        </w:rPr>
        <w:t>. § 1. Sprawca, wobec którego orzeczono terapię, ma obowiązek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stawiennictwa we wskazanej przez sąd placówce w terminach wyznaczonych przez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lekarza psychiatrę, seksuologa lub terapeutę i poddania się terapii farmakologicznej</w:t>
      </w:r>
      <w:r w:rsidR="008B7701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zmierzającej do osłabienia popędu seksualnego, psychoterapii lub psychoedukacji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w celu poprawy jego funkcjonowania w społeczeństwie.</w:t>
      </w:r>
    </w:p>
    <w:p w:rsid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2. Sprawca, wobec którego orzeczono terapię uzależnień, ma obowiązek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stawiennictwa we wskazanej przez sąd placówce leczenia odwykowego w terminach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wyznaczonych przez lekarza i poddania się leczeniu uzależnienia od alkoholu,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środka odurzającego lub innego podobnie działającego środka.</w:t>
      </w:r>
    </w:p>
    <w:p w:rsidR="00965E65" w:rsidRPr="00C93801" w:rsidRDefault="00965E65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226">
        <w:rPr>
          <w:rFonts w:ascii="Times New Roman" w:hAnsi="Times New Roman" w:cs="Times New Roman"/>
          <w:b/>
          <w:sz w:val="20"/>
          <w:szCs w:val="20"/>
        </w:rPr>
        <w:t>Art. 93g</w:t>
      </w:r>
      <w:r w:rsidRPr="00C93801">
        <w:rPr>
          <w:rFonts w:ascii="Times New Roman" w:hAnsi="Times New Roman" w:cs="Times New Roman"/>
          <w:sz w:val="20"/>
          <w:szCs w:val="20"/>
        </w:rPr>
        <w:t>. § 1. Sąd orzeka pobyt w odpowiednim zakładzie psychiatrycznym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wobec sprawcy określonego w art. 93c pkt 1, jeżeli istnieje wysokie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prawdopodobieństwo, że popełni on ponownie czyn zabroniony o znacznej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społecznej szkodliwości w związku z chorobą psychiczną lub upośledzeniem</w:t>
      </w:r>
      <w:r w:rsidR="00974BE6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umysłowym.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2. Skazując sprawcę określonego w art. 93c pkt 2 na karę pozbawienia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wolności bez warunkowego zawieszenia jej wykonania, karę 25 lat pozbawienia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wolności lub karę dożywotniego pozbawienia wolności, sąd orzeka pobyt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 odpowiednim zakładzie psychiatrycznym, jeżeli istnieje wysokie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prawdopodobieństwo, że popełni on czyn zabroniony o znacznej społecznej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szkodliwości w związku z chorobą psychiczną lub upośledzeniem umysłowym.</w:t>
      </w:r>
    </w:p>
    <w:p w:rsidR="00C93801" w:rsidRPr="00C93801" w:rsidRDefault="00C93801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3801">
        <w:rPr>
          <w:rFonts w:ascii="Times New Roman" w:hAnsi="Times New Roman" w:cs="Times New Roman"/>
          <w:sz w:val="20"/>
          <w:szCs w:val="20"/>
        </w:rPr>
        <w:t>§ 3. Skazując sprawcę określonego w art. 93c pkt 3 na karę pozbawienia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wolności bez warunkowego zawieszenia jej wykonania, karę 25 lat pozbawienia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 xml:space="preserve">wolności lub karę dożywotniego pozbawienia wolności, sąd </w:t>
      </w:r>
      <w:r w:rsidRPr="00C93801">
        <w:rPr>
          <w:rFonts w:ascii="Times New Roman" w:hAnsi="Times New Roman" w:cs="Times New Roman"/>
          <w:sz w:val="20"/>
          <w:szCs w:val="20"/>
        </w:rPr>
        <w:lastRenderedPageBreak/>
        <w:t>orzeka pobyt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w odpowiednim zakładzie psychiatrycznym, jeżeli istnieje wysokie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prawdopodobieństwo, że skazany popełni przestępstwo przeciwko życiu, zdrowiu</w:t>
      </w:r>
      <w:r w:rsidR="00B6704E">
        <w:rPr>
          <w:rFonts w:ascii="Times New Roman" w:hAnsi="Times New Roman" w:cs="Times New Roman"/>
          <w:sz w:val="20"/>
          <w:szCs w:val="20"/>
        </w:rPr>
        <w:t xml:space="preserve"> </w:t>
      </w:r>
      <w:r w:rsidRPr="00C93801">
        <w:rPr>
          <w:rFonts w:ascii="Times New Roman" w:hAnsi="Times New Roman" w:cs="Times New Roman"/>
          <w:sz w:val="20"/>
          <w:szCs w:val="20"/>
        </w:rPr>
        <w:t>lub wolności seksualnej w związku z zaburzeniem preferencji seksualnych.</w:t>
      </w:r>
    </w:p>
    <w:p w:rsidR="008E37BA" w:rsidRDefault="008E37BA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7BA" w:rsidRPr="008E37BA" w:rsidRDefault="008E37BA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E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par.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462C8E" w:rsidRPr="00127000" w:rsidRDefault="008569FE" w:rsidP="00C93801">
      <w:pPr>
        <w:tabs>
          <w:tab w:val="left" w:pos="467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00">
        <w:rPr>
          <w:rFonts w:ascii="Times New Roman" w:eastAsia="Calibri" w:hAnsi="Times New Roman" w:cs="Times New Roman"/>
          <w:b/>
          <w:sz w:val="24"/>
          <w:szCs w:val="24"/>
        </w:rPr>
        <w:t>Dan</w:t>
      </w:r>
      <w:r w:rsidR="008C7838" w:rsidRPr="0012700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1270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73E6" w:rsidRPr="00127000">
        <w:rPr>
          <w:rFonts w:ascii="Times New Roman" w:eastAsia="Calibri" w:hAnsi="Times New Roman" w:cs="Times New Roman"/>
          <w:b/>
          <w:sz w:val="24"/>
          <w:szCs w:val="24"/>
        </w:rPr>
        <w:t xml:space="preserve">dotyczące działalności </w:t>
      </w:r>
      <w:r w:rsidRPr="00127000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B273E6" w:rsidRPr="00127000">
        <w:rPr>
          <w:rFonts w:ascii="Times New Roman" w:eastAsia="Calibri" w:hAnsi="Times New Roman" w:cs="Times New Roman"/>
          <w:b/>
          <w:sz w:val="24"/>
          <w:szCs w:val="24"/>
        </w:rPr>
        <w:t>olicji</w:t>
      </w:r>
    </w:p>
    <w:tbl>
      <w:tblPr>
        <w:tblW w:w="9225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6"/>
        <w:gridCol w:w="1440"/>
        <w:gridCol w:w="1853"/>
        <w:gridCol w:w="1616"/>
        <w:gridCol w:w="1616"/>
      </w:tblGrid>
      <w:tr w:rsidR="007D0918" w:rsidRPr="00127000" w:rsidTr="006C593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D9D9" w:themeFill="background1" w:themeFillShade="D9"/>
          </w:tcPr>
          <w:p w:rsidR="00462C8E" w:rsidRPr="00127000" w:rsidRDefault="0024083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Stwierdzone </w:t>
            </w:r>
            <w:r w:rsidR="00462C8E"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przestępstw</w:t>
            </w:r>
            <w:r w:rsidR="008C7838"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62C8E"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62C8E" w:rsidRPr="00127000" w:rsidRDefault="0024083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Podejrzani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462C8E" w:rsidRPr="00127000" w:rsidRDefault="00C14EA7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Pokrzywdzeni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w tym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pokrzywdzeni – ob. RP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w tym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pokrzywdzeni – cudzoziemcy</w:t>
            </w:r>
          </w:p>
        </w:tc>
      </w:tr>
      <w:tr w:rsidR="007D0918" w:rsidRPr="00127000" w:rsidTr="00B2769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D0918" w:rsidRPr="00127000" w:rsidTr="00B2769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7D0918" w:rsidRPr="00127000" w:rsidTr="00B2769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0918" w:rsidRPr="00127000" w:rsidTr="00B2769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0918" w:rsidRPr="00127000" w:rsidTr="00B2769F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D0918" w:rsidRPr="00127000" w:rsidTr="00B2769F">
        <w:trPr>
          <w:trHeight w:val="444"/>
          <w:jc w:val="center"/>
        </w:trPr>
        <w:tc>
          <w:tcPr>
            <w:tcW w:w="1134" w:type="dxa"/>
            <w:shd w:val="clear" w:color="auto" w:fill="E6E6E6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66" w:type="dxa"/>
            <w:shd w:val="clear" w:color="auto" w:fill="E6E6E6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40" w:type="dxa"/>
            <w:shd w:val="clear" w:color="auto" w:fill="E6E6E6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53" w:type="dxa"/>
            <w:shd w:val="clear" w:color="auto" w:fill="E6E6E6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616" w:type="dxa"/>
            <w:shd w:val="clear" w:color="auto" w:fill="E6E6E6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16" w:type="dxa"/>
            <w:shd w:val="clear" w:color="auto" w:fill="E6E6E6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</w:tbl>
    <w:p w:rsidR="00462C8E" w:rsidRPr="00127000" w:rsidRDefault="00462C8E" w:rsidP="00C93801">
      <w:pPr>
        <w:tabs>
          <w:tab w:val="left" w:pos="4678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C8E" w:rsidRPr="00127000" w:rsidRDefault="00462C8E" w:rsidP="00C93801">
      <w:pPr>
        <w:tabs>
          <w:tab w:val="left" w:pos="467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000">
        <w:rPr>
          <w:rFonts w:ascii="Times New Roman" w:eastAsia="Calibri" w:hAnsi="Times New Roman" w:cs="Times New Roman"/>
          <w:b/>
          <w:sz w:val="24"/>
          <w:szCs w:val="24"/>
        </w:rPr>
        <w:t>Dane Prokuratury Generalnej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236"/>
        <w:gridCol w:w="1275"/>
        <w:gridCol w:w="1418"/>
        <w:gridCol w:w="1417"/>
        <w:gridCol w:w="1276"/>
        <w:gridCol w:w="1537"/>
      </w:tblGrid>
      <w:tr w:rsidR="007D0918" w:rsidRPr="00127000" w:rsidTr="005312C6">
        <w:trPr>
          <w:cantSplit/>
          <w:jc w:val="center"/>
        </w:trPr>
        <w:tc>
          <w:tcPr>
            <w:tcW w:w="9074" w:type="dxa"/>
            <w:gridSpan w:val="7"/>
            <w:shd w:val="clear" w:color="auto" w:fill="E6E6E6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Wyniki postępowań przygotowawczych w sprawach o handel ludźmi w okresie 2009-2013</w:t>
            </w:r>
          </w:p>
        </w:tc>
      </w:tr>
      <w:tr w:rsidR="007D0918" w:rsidRPr="00127000" w:rsidTr="005312C6">
        <w:trPr>
          <w:cantSplit/>
          <w:trHeight w:val="360"/>
          <w:jc w:val="center"/>
        </w:trPr>
        <w:tc>
          <w:tcPr>
            <w:tcW w:w="915" w:type="dxa"/>
            <w:vMerge w:val="restart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236" w:type="dxa"/>
            <w:vMerge w:val="restart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L. wszczętych postępowań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przygotowawczych</w:t>
            </w:r>
            <w:r w:rsidRPr="001270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L. zakończonych postępowań</w:t>
            </w:r>
          </w:p>
        </w:tc>
        <w:tc>
          <w:tcPr>
            <w:tcW w:w="1418" w:type="dxa"/>
            <w:vMerge w:val="restart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L. spraw zakończonych wniesieniem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aktu oskarżenia</w:t>
            </w:r>
          </w:p>
        </w:tc>
        <w:tc>
          <w:tcPr>
            <w:tcW w:w="1417" w:type="dxa"/>
            <w:vMerge w:val="restart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L. spraw zakończonych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umorzeniem</w:t>
            </w:r>
          </w:p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shd w:val="clear" w:color="auto" w:fill="E6E6E6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L. osób</w:t>
            </w:r>
          </w:p>
        </w:tc>
      </w:tr>
      <w:tr w:rsidR="007D0918" w:rsidRPr="00127000" w:rsidTr="005312C6">
        <w:trPr>
          <w:cantSplit/>
          <w:trHeight w:val="1793"/>
          <w:jc w:val="center"/>
        </w:trPr>
        <w:tc>
          <w:tcPr>
            <w:tcW w:w="915" w:type="dxa"/>
            <w:vMerge/>
            <w:textDirection w:val="btL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Oskarżonych</w:t>
            </w:r>
          </w:p>
        </w:tc>
        <w:tc>
          <w:tcPr>
            <w:tcW w:w="1537" w:type="dxa"/>
            <w:shd w:val="clear" w:color="auto" w:fill="E6E6E6"/>
            <w:textDirection w:val="btLr"/>
            <w:vAlign w:val="center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Pokrzywdzonych</w:t>
            </w:r>
          </w:p>
        </w:tc>
      </w:tr>
      <w:tr w:rsidR="007D0918" w:rsidRPr="00127000" w:rsidTr="005312C6">
        <w:trPr>
          <w:jc w:val="center"/>
        </w:trPr>
        <w:tc>
          <w:tcPr>
            <w:tcW w:w="91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23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27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</w:tr>
      <w:tr w:rsidR="007D0918" w:rsidRPr="00127000" w:rsidTr="005312C6">
        <w:trPr>
          <w:jc w:val="center"/>
        </w:trPr>
        <w:tc>
          <w:tcPr>
            <w:tcW w:w="91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123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27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</w:tr>
      <w:tr w:rsidR="007D0918" w:rsidRPr="00127000" w:rsidTr="005312C6">
        <w:trPr>
          <w:jc w:val="center"/>
        </w:trPr>
        <w:tc>
          <w:tcPr>
            <w:tcW w:w="91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23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1270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590</w:t>
            </w:r>
          </w:p>
        </w:tc>
      </w:tr>
      <w:tr w:rsidR="007D0918" w:rsidRPr="00127000" w:rsidTr="005312C6">
        <w:trPr>
          <w:jc w:val="center"/>
        </w:trPr>
        <w:tc>
          <w:tcPr>
            <w:tcW w:w="91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23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Pr="001270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27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462C8E" w:rsidRPr="00127000" w:rsidTr="005312C6">
        <w:trPr>
          <w:jc w:val="center"/>
        </w:trPr>
        <w:tc>
          <w:tcPr>
            <w:tcW w:w="91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3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Pr="001270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275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7" w:type="dxa"/>
          </w:tcPr>
          <w:p w:rsidR="00462C8E" w:rsidRPr="00127000" w:rsidRDefault="00462C8E" w:rsidP="00C93801">
            <w:pPr>
              <w:tabs>
                <w:tab w:val="left" w:pos="467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</w:tbl>
    <w:p w:rsidR="00101D6F" w:rsidRDefault="00101D6F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86" w:rsidRDefault="007A4286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286" w:rsidRPr="00127000" w:rsidRDefault="007A4286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97" w:rsidRPr="00127000" w:rsidRDefault="000B3197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127000">
        <w:rPr>
          <w:rFonts w:ascii="Times New Roman" w:hAnsi="Times New Roman" w:cs="Times New Roman"/>
          <w:bCs/>
          <w:i/>
          <w:color w:val="000000"/>
          <w:sz w:val="20"/>
          <w:szCs w:val="20"/>
        </w:rPr>
        <w:lastRenderedPageBreak/>
        <w:t>Kodeks karny</w:t>
      </w:r>
    </w:p>
    <w:p w:rsidR="000B3197" w:rsidRPr="00127000" w:rsidRDefault="000B3197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270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Art. 189a. </w:t>
      </w:r>
      <w:r w:rsidRPr="00127000">
        <w:rPr>
          <w:rFonts w:ascii="Times New Roman" w:hAnsi="Times New Roman" w:cs="Times New Roman"/>
          <w:color w:val="000000"/>
          <w:sz w:val="20"/>
          <w:szCs w:val="20"/>
        </w:rPr>
        <w:t>§ 1. Kto dopuszcza się handlu ludźmi, podlega karze pozbawienia wolnośc</w:t>
      </w:r>
      <w:r w:rsidR="00244477" w:rsidRPr="00127000">
        <w:rPr>
          <w:rFonts w:ascii="Times New Roman" w:hAnsi="Times New Roman" w:cs="Times New Roman"/>
          <w:color w:val="000000"/>
          <w:sz w:val="20"/>
          <w:szCs w:val="20"/>
        </w:rPr>
        <w:t>i na czas nie krótszy od lat 3.</w:t>
      </w:r>
    </w:p>
    <w:p w:rsidR="000B3197" w:rsidRPr="00127000" w:rsidRDefault="000B3197" w:rsidP="00C93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27000">
        <w:rPr>
          <w:rFonts w:ascii="Times New Roman" w:hAnsi="Times New Roman" w:cs="Times New Roman"/>
          <w:color w:val="000000"/>
          <w:sz w:val="20"/>
          <w:szCs w:val="20"/>
        </w:rPr>
        <w:t>§ 2. Kto czyni przygotowania do popełnienia przestępstwa określonego w § 1, podlega karze pozbawienia wolności od 3 miesięcy do lat 5.</w:t>
      </w:r>
    </w:p>
    <w:p w:rsidR="000B3197" w:rsidRPr="00127000" w:rsidRDefault="000B3197" w:rsidP="00C9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D0" w:rsidRPr="00127000" w:rsidRDefault="00305DD0" w:rsidP="00C9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Prawomocne skazania</w:t>
      </w:r>
    </w:p>
    <w:p w:rsidR="00305DD0" w:rsidRPr="00127000" w:rsidRDefault="00305DD0" w:rsidP="00C9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0"/>
        <w:gridCol w:w="820"/>
        <w:gridCol w:w="995"/>
        <w:gridCol w:w="995"/>
        <w:gridCol w:w="995"/>
        <w:gridCol w:w="995"/>
      </w:tblGrid>
      <w:tr w:rsidR="00305DD0" w:rsidRPr="00127000" w:rsidTr="001933DE">
        <w:trPr>
          <w:trHeight w:val="315"/>
        </w:trPr>
        <w:tc>
          <w:tcPr>
            <w:tcW w:w="2380" w:type="dxa"/>
            <w:vMerge w:val="restart"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4800" w:type="dxa"/>
            <w:gridSpan w:val="5"/>
            <w:shd w:val="clear" w:color="auto" w:fill="D9D9D9" w:themeFill="background1" w:themeFillShade="D9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</w:p>
        </w:tc>
      </w:tr>
      <w:tr w:rsidR="00305DD0" w:rsidRPr="00127000" w:rsidTr="001933DE">
        <w:trPr>
          <w:trHeight w:val="300"/>
        </w:trPr>
        <w:tc>
          <w:tcPr>
            <w:tcW w:w="238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shd w:val="clear" w:color="auto" w:fill="D9D9D9" w:themeFill="background1" w:themeFillShade="D9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305DD0" w:rsidRPr="00127000" w:rsidTr="001933DE">
        <w:trPr>
          <w:trHeight w:val="300"/>
        </w:trPr>
        <w:tc>
          <w:tcPr>
            <w:tcW w:w="238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DD0" w:rsidRPr="00127000" w:rsidTr="001933DE">
        <w:trPr>
          <w:trHeight w:val="300"/>
        </w:trPr>
        <w:tc>
          <w:tcPr>
            <w:tcW w:w="238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DD0" w:rsidRPr="00127000" w:rsidTr="001933DE">
        <w:trPr>
          <w:trHeight w:val="300"/>
        </w:trPr>
        <w:tc>
          <w:tcPr>
            <w:tcW w:w="238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5DD0" w:rsidRPr="00127000" w:rsidTr="001933DE">
        <w:trPr>
          <w:trHeight w:val="300"/>
        </w:trPr>
        <w:tc>
          <w:tcPr>
            <w:tcW w:w="2380" w:type="dxa"/>
            <w:vMerge/>
            <w:shd w:val="clear" w:color="auto" w:fill="D9D9D9" w:themeFill="background1" w:themeFillShade="D9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00" w:type="dxa"/>
            <w:gridSpan w:val="5"/>
            <w:shd w:val="clear" w:color="auto" w:fill="D9D9D9" w:themeFill="background1" w:themeFillShade="D9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liczbach bezwzględnych</w:t>
            </w:r>
          </w:p>
        </w:tc>
      </w:tr>
      <w:tr w:rsidR="00305DD0" w:rsidRPr="00127000" w:rsidTr="00305DD0">
        <w:trPr>
          <w:trHeight w:val="300"/>
        </w:trPr>
        <w:tc>
          <w:tcPr>
            <w:tcW w:w="2380" w:type="dxa"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Art.189a §1 kk</w:t>
            </w:r>
          </w:p>
        </w:tc>
        <w:tc>
          <w:tcPr>
            <w:tcW w:w="820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6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15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16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12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 9    </w:t>
            </w:r>
          </w:p>
        </w:tc>
      </w:tr>
      <w:tr w:rsidR="00305DD0" w:rsidRPr="00127000" w:rsidTr="00305DD0">
        <w:trPr>
          <w:trHeight w:val="300"/>
        </w:trPr>
        <w:tc>
          <w:tcPr>
            <w:tcW w:w="2380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Art.189a §2 kk</w:t>
            </w:r>
          </w:p>
        </w:tc>
        <w:tc>
          <w:tcPr>
            <w:tcW w:w="820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-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 -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 -    </w:t>
            </w:r>
          </w:p>
        </w:tc>
        <w:tc>
          <w:tcPr>
            <w:tcW w:w="995" w:type="dxa"/>
            <w:noWrap/>
            <w:hideMark/>
          </w:tcPr>
          <w:p w:rsidR="00305DD0" w:rsidRPr="00127000" w:rsidRDefault="00305DD0" w:rsidP="00C938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         -    </w:t>
            </w:r>
          </w:p>
        </w:tc>
      </w:tr>
    </w:tbl>
    <w:p w:rsidR="0016769F" w:rsidRPr="00127000" w:rsidRDefault="0016769F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6769F" w:rsidRPr="001270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6E08" w:rsidRPr="00F86E08" w:rsidRDefault="00F86E08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E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Dotyczy par. 1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16769F" w:rsidRPr="00127000" w:rsidRDefault="00EE5870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Skazania w I instancji w sądach okręgowych według rodzajów przestępstw</w:t>
      </w:r>
    </w:p>
    <w:tbl>
      <w:tblPr>
        <w:tblpPr w:leftFromText="141" w:rightFromText="141" w:vertAnchor="text" w:horzAnchor="margin" w:tblpY="190"/>
        <w:tblW w:w="13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108"/>
        <w:gridCol w:w="1190"/>
        <w:gridCol w:w="676"/>
        <w:gridCol w:w="548"/>
        <w:gridCol w:w="548"/>
        <w:gridCol w:w="548"/>
        <w:gridCol w:w="831"/>
        <w:gridCol w:w="420"/>
        <w:gridCol w:w="548"/>
        <w:gridCol w:w="420"/>
        <w:gridCol w:w="831"/>
        <w:gridCol w:w="420"/>
        <w:gridCol w:w="548"/>
        <w:gridCol w:w="420"/>
        <w:gridCol w:w="831"/>
        <w:gridCol w:w="548"/>
        <w:gridCol w:w="831"/>
        <w:gridCol w:w="548"/>
        <w:gridCol w:w="548"/>
        <w:gridCol w:w="892"/>
      </w:tblGrid>
      <w:tr w:rsidR="0016769F" w:rsidRPr="00127000" w:rsidTr="0016769F">
        <w:trPr>
          <w:trHeight w:val="65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Lata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Skazani, odstąpienia ogółem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Dożywotnie pozbawienie wolności</w:t>
            </w:r>
          </w:p>
        </w:tc>
        <w:tc>
          <w:tcPr>
            <w:tcW w:w="10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Pozbawienie wolności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Inne skazania</w:t>
            </w: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razem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do 2 lat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powyżej 2 lat poniżej 3 lat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3 lata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powyżej 3 lat poniżej 5 lat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5 lat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w  tym z warunkowym zawieszeniem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powyżej 5 lat poniżej 8 lat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8 lat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powyżej 8 lat poniżej 15 lat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15 lat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25 lat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7 880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7 659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3 777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4 661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7 804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4 982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7 898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7 654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4 818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16769F" w:rsidRPr="00127000" w:rsidTr="0016769F">
        <w:trPr>
          <w:trHeight w:val="65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3 623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9F" w:rsidRPr="00127000" w:rsidRDefault="0016769F" w:rsidP="00C93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2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</w:tr>
    </w:tbl>
    <w:p w:rsidR="0016769F" w:rsidRPr="00127000" w:rsidRDefault="0016769F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69F" w:rsidRPr="00127000" w:rsidRDefault="0016769F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6769F" w:rsidRPr="00127000" w:rsidSect="0016769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23923" w:rsidRPr="00F86E08" w:rsidRDefault="00323923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E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Dotyczy par. 1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</w:p>
    <w:p w:rsidR="002D4D28" w:rsidRPr="00127000" w:rsidRDefault="002D4D28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000">
        <w:rPr>
          <w:rFonts w:ascii="Times New Roman" w:hAnsi="Times New Roman" w:cs="Times New Roman"/>
          <w:b/>
          <w:sz w:val="24"/>
          <w:szCs w:val="24"/>
        </w:rPr>
        <w:t>Liczba orzekających sędziów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0"/>
        <w:gridCol w:w="2810"/>
      </w:tblGrid>
      <w:tr w:rsidR="002D4D28" w:rsidRPr="00127000" w:rsidTr="00DB0CF4">
        <w:trPr>
          <w:trHeight w:val="276"/>
        </w:trPr>
        <w:tc>
          <w:tcPr>
            <w:tcW w:w="2810" w:type="dxa"/>
            <w:shd w:val="clear" w:color="auto" w:fill="D9D9D9" w:themeFill="background1" w:themeFillShade="D9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sz w:val="24"/>
                <w:szCs w:val="24"/>
              </w:rPr>
              <w:t>L. sędziów</w:t>
            </w:r>
          </w:p>
        </w:tc>
      </w:tr>
      <w:tr w:rsidR="002D4D28" w:rsidRPr="00127000" w:rsidTr="00DB0CF4">
        <w:trPr>
          <w:trHeight w:val="276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9921</w:t>
            </w:r>
          </w:p>
        </w:tc>
      </w:tr>
      <w:tr w:rsidR="002D4D28" w:rsidRPr="00127000" w:rsidTr="00DB0CF4">
        <w:trPr>
          <w:trHeight w:val="261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9924</w:t>
            </w:r>
          </w:p>
        </w:tc>
      </w:tr>
      <w:tr w:rsidR="002D4D28" w:rsidRPr="00127000" w:rsidTr="00DB0CF4">
        <w:trPr>
          <w:trHeight w:val="276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9944</w:t>
            </w:r>
          </w:p>
        </w:tc>
      </w:tr>
      <w:tr w:rsidR="002D4D28" w:rsidRPr="00127000" w:rsidTr="00DB0CF4">
        <w:trPr>
          <w:trHeight w:val="261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9958</w:t>
            </w:r>
          </w:p>
        </w:tc>
      </w:tr>
      <w:tr w:rsidR="002D4D28" w:rsidRPr="00127000" w:rsidTr="00DB0CF4">
        <w:trPr>
          <w:trHeight w:val="276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9908</w:t>
            </w:r>
          </w:p>
        </w:tc>
      </w:tr>
      <w:tr w:rsidR="002D4D28" w:rsidRPr="00127000" w:rsidTr="00DB0CF4">
        <w:trPr>
          <w:trHeight w:val="276"/>
        </w:trPr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10" w:type="dxa"/>
          </w:tcPr>
          <w:p w:rsidR="002D4D28" w:rsidRPr="00127000" w:rsidRDefault="002D4D28" w:rsidP="00C93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9962</w:t>
            </w:r>
          </w:p>
        </w:tc>
      </w:tr>
    </w:tbl>
    <w:p w:rsidR="00DA7756" w:rsidRDefault="00DA7756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756" w:rsidRPr="00DA7756" w:rsidRDefault="00DA7756" w:rsidP="00C938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Dotyczy par. 1</w:t>
      </w:r>
      <w:r w:rsidR="0007580E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696"/>
        <w:gridCol w:w="696"/>
        <w:gridCol w:w="696"/>
        <w:gridCol w:w="696"/>
        <w:gridCol w:w="696"/>
      </w:tblGrid>
      <w:tr w:rsidR="009650EC" w:rsidRPr="00127000" w:rsidTr="006C5933">
        <w:trPr>
          <w:trHeight w:val="315"/>
        </w:trPr>
        <w:tc>
          <w:tcPr>
            <w:tcW w:w="1976" w:type="dxa"/>
            <w:vMerge w:val="restart"/>
            <w:shd w:val="clear" w:color="auto" w:fill="D9D9D9" w:themeFill="background1" w:themeFillShade="D9"/>
            <w:hideMark/>
          </w:tcPr>
          <w:p w:rsidR="009650EC" w:rsidRPr="00127000" w:rsidRDefault="009650EC" w:rsidP="00C9380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Wyszczególnienie</w:t>
            </w: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9650EC" w:rsidRPr="00127000" w:rsidRDefault="009650EC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LATA</w:t>
            </w:r>
          </w:p>
        </w:tc>
      </w:tr>
      <w:tr w:rsidR="001E7720" w:rsidRPr="00127000" w:rsidTr="006C5933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696" w:type="dxa"/>
            <w:vMerge w:val="restart"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1E7720" w:rsidRPr="00127000" w:rsidTr="006C5933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720" w:rsidRPr="00127000" w:rsidTr="006C5933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7720" w:rsidRPr="00127000" w:rsidTr="006C5933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D9D9D9" w:themeFill="background1" w:themeFillShade="D9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0EC" w:rsidRPr="00127000" w:rsidTr="006C5933">
        <w:trPr>
          <w:trHeight w:val="300"/>
        </w:trPr>
        <w:tc>
          <w:tcPr>
            <w:tcW w:w="1976" w:type="dxa"/>
            <w:vMerge/>
            <w:shd w:val="clear" w:color="auto" w:fill="D9D9D9" w:themeFill="background1" w:themeFillShade="D9"/>
            <w:hideMark/>
          </w:tcPr>
          <w:p w:rsidR="009650EC" w:rsidRPr="00127000" w:rsidRDefault="009650EC" w:rsidP="00C938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shd w:val="clear" w:color="auto" w:fill="D9D9D9" w:themeFill="background1" w:themeFillShade="D9"/>
            <w:noWrap/>
            <w:hideMark/>
          </w:tcPr>
          <w:p w:rsidR="009650EC" w:rsidRPr="00127000" w:rsidRDefault="009650EC" w:rsidP="00C9380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iCs/>
                <w:sz w:val="24"/>
                <w:szCs w:val="24"/>
              </w:rPr>
              <w:t>w liczbach bezwzględnych</w:t>
            </w:r>
          </w:p>
        </w:tc>
      </w:tr>
      <w:tr w:rsidR="001E7720" w:rsidRPr="00127000" w:rsidTr="003D7C9C">
        <w:trPr>
          <w:trHeight w:val="405"/>
        </w:trPr>
        <w:tc>
          <w:tcPr>
            <w:tcW w:w="1976" w:type="dxa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Art.212 §1 kk              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7720" w:rsidRPr="00127000" w:rsidTr="003D7C9C">
        <w:trPr>
          <w:trHeight w:val="300"/>
        </w:trPr>
        <w:tc>
          <w:tcPr>
            <w:tcW w:w="1976" w:type="dxa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Art.212 §2 kk              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7720" w:rsidRPr="00127000" w:rsidTr="003D7C9C">
        <w:trPr>
          <w:trHeight w:val="315"/>
        </w:trPr>
        <w:tc>
          <w:tcPr>
            <w:tcW w:w="1976" w:type="dxa"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 xml:space="preserve">Art.212 §3 kk              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noWrap/>
            <w:hideMark/>
          </w:tcPr>
          <w:p w:rsidR="001E7720" w:rsidRPr="00127000" w:rsidRDefault="001E7720" w:rsidP="00C93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72FF2" w:rsidRPr="00127000" w:rsidRDefault="00C72FF2" w:rsidP="00C938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7CE" w:rsidRPr="00127000" w:rsidRDefault="000267CE" w:rsidP="00C9380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7000">
        <w:rPr>
          <w:rFonts w:ascii="Times New Roman" w:hAnsi="Times New Roman" w:cs="Times New Roman"/>
          <w:i/>
          <w:sz w:val="20"/>
          <w:szCs w:val="20"/>
        </w:rPr>
        <w:t>Kodeks karny</w:t>
      </w:r>
    </w:p>
    <w:p w:rsidR="00C72FF2" w:rsidRPr="00127000" w:rsidRDefault="00C72FF2" w:rsidP="00C9380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000">
        <w:rPr>
          <w:rFonts w:ascii="Times New Roman" w:hAnsi="Times New Roman" w:cs="Times New Roman"/>
          <w:b/>
          <w:sz w:val="20"/>
          <w:szCs w:val="20"/>
        </w:rPr>
        <w:t>Art. 212.</w:t>
      </w:r>
      <w:r w:rsidRPr="00127000">
        <w:rPr>
          <w:rFonts w:ascii="Times New Roman" w:hAnsi="Times New Roman" w:cs="Times New Roman"/>
          <w:sz w:val="20"/>
          <w:szCs w:val="20"/>
        </w:rPr>
        <w:t xml:space="preserve"> § 1. Kto pomawia inną osobę, grupę osób, instytucję, osobę prawną lub jednostkę organizacyjną niemającą osobowości prawnej o takie postępowanie lub właściwości, które mogą poniżyć ją w opinii publicznej lub narazić na utratę zaufania potrzebnego dla danego stanowiska, zawodu lub rodzaju działalności, podlega grzywnie albo karze ograniczenia wolności.</w:t>
      </w:r>
    </w:p>
    <w:p w:rsidR="00C72FF2" w:rsidRPr="00127000" w:rsidRDefault="00C72FF2" w:rsidP="00C9380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000">
        <w:rPr>
          <w:rFonts w:ascii="Times New Roman" w:hAnsi="Times New Roman" w:cs="Times New Roman"/>
          <w:sz w:val="20"/>
          <w:szCs w:val="20"/>
        </w:rPr>
        <w:t>§ 2. Jeżeli sprawca dopuszcza się czynu określonego w § 1 za pomocą środków masowego komunikowania, podlega grzywnie, karze ograniczenia wolności albo pozbawienia wolności do roku.</w:t>
      </w:r>
    </w:p>
    <w:p w:rsidR="00C72FF2" w:rsidRPr="00127000" w:rsidRDefault="00C72FF2" w:rsidP="00C9380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000">
        <w:rPr>
          <w:rFonts w:ascii="Times New Roman" w:hAnsi="Times New Roman" w:cs="Times New Roman"/>
          <w:sz w:val="20"/>
          <w:szCs w:val="20"/>
        </w:rPr>
        <w:t>§ 3. W razie skazania za przestępstwo określone w § 1 lub 2 sąd może orzec nawiązkę na rzecz pokrzywdzonego, Polskiego Czerwonego Krzyża albo na inny cel społeczny wskazany przez pokrzywdzonego.</w:t>
      </w:r>
    </w:p>
    <w:p w:rsidR="00C72FF2" w:rsidRPr="00127000" w:rsidRDefault="00C72FF2" w:rsidP="00C93801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7000">
        <w:rPr>
          <w:rFonts w:ascii="Times New Roman" w:hAnsi="Times New Roman" w:cs="Times New Roman"/>
          <w:sz w:val="20"/>
          <w:szCs w:val="20"/>
        </w:rPr>
        <w:t>§ 4. Ściganie przestępstwa określonego w § 1 lub 2 odbywa się z oskarżenia prywatnego.</w:t>
      </w:r>
    </w:p>
    <w:sectPr w:rsidR="00C72FF2" w:rsidRPr="0012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9F" w:rsidRDefault="00F0199F" w:rsidP="00462C8E">
      <w:pPr>
        <w:spacing w:after="0" w:line="240" w:lineRule="auto"/>
      </w:pPr>
      <w:r>
        <w:separator/>
      </w:r>
    </w:p>
  </w:endnote>
  <w:endnote w:type="continuationSeparator" w:id="0">
    <w:p w:rsidR="00F0199F" w:rsidRDefault="00F0199F" w:rsidP="0046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9F" w:rsidRDefault="00F0199F" w:rsidP="00462C8E">
      <w:pPr>
        <w:spacing w:after="0" w:line="240" w:lineRule="auto"/>
      </w:pPr>
      <w:r>
        <w:separator/>
      </w:r>
    </w:p>
  </w:footnote>
  <w:footnote w:type="continuationSeparator" w:id="0">
    <w:p w:rsidR="00F0199F" w:rsidRDefault="00F0199F" w:rsidP="00462C8E">
      <w:pPr>
        <w:spacing w:after="0" w:line="240" w:lineRule="auto"/>
      </w:pPr>
      <w:r>
        <w:continuationSeparator/>
      </w:r>
    </w:p>
  </w:footnote>
  <w:footnote w:id="1">
    <w:p w:rsidR="00C055BF" w:rsidRPr="00DF2C59" w:rsidRDefault="00C055BF" w:rsidP="00DF2C59">
      <w:pPr>
        <w:pStyle w:val="Tekstprzypisudolnego"/>
        <w:jc w:val="both"/>
        <w:rPr>
          <w:rFonts w:ascii="Times New Roman" w:hAnsi="Times New Roman" w:cs="Times New Roman"/>
        </w:rPr>
      </w:pPr>
      <w:r w:rsidRPr="00DF2C59">
        <w:rPr>
          <w:rStyle w:val="Odwoanieprzypisudolnego"/>
          <w:rFonts w:ascii="Times New Roman" w:hAnsi="Times New Roman" w:cs="Times New Roman"/>
        </w:rPr>
        <w:footnoteRef/>
      </w:r>
      <w:r w:rsidRPr="00DF2C59">
        <w:rPr>
          <w:rFonts w:ascii="Times New Roman" w:hAnsi="Times New Roman" w:cs="Times New Roman"/>
        </w:rPr>
        <w:t xml:space="preserve"> Liczba spraw o przestępstwa popełniane z motywów rasistowskich, narodowościowych, etnicznych, wyznaniowych lub z powodu bezwyznaniowości (bez względu na przyjętą kwalifikację prawną czynu)</w:t>
      </w:r>
      <w:r>
        <w:rPr>
          <w:rFonts w:ascii="Times New Roman" w:hAnsi="Times New Roman" w:cs="Times New Roman"/>
        </w:rPr>
        <w:t>. Dane te dotyczą zdarzeń dotykających przedstawicieli różnych grup</w:t>
      </w:r>
      <w:r w:rsidRPr="000C05A9">
        <w:rPr>
          <w:rFonts w:ascii="Times New Roman" w:hAnsi="Times New Roman" w:cs="Times New Roman"/>
        </w:rPr>
        <w:t>,</w:t>
      </w:r>
    </w:p>
  </w:footnote>
  <w:footnote w:id="2">
    <w:p w:rsidR="00C055BF" w:rsidRPr="002D7250" w:rsidRDefault="00C055BF" w:rsidP="00462C8E">
      <w:pPr>
        <w:pStyle w:val="Tekstprzypisudolnego"/>
        <w:contextualSpacing/>
        <w:rPr>
          <w:rFonts w:ascii="Times New Roman" w:hAnsi="Times New Roman" w:cs="Times New Roman"/>
          <w:sz w:val="18"/>
          <w:szCs w:val="18"/>
        </w:rPr>
      </w:pPr>
      <w:r w:rsidRPr="002D725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7250">
        <w:rPr>
          <w:rFonts w:ascii="Times New Roman" w:hAnsi="Times New Roman" w:cs="Times New Roman"/>
          <w:sz w:val="18"/>
          <w:szCs w:val="18"/>
        </w:rPr>
        <w:t xml:space="preserve"> Liczba wszczętych postępowań przygotowawczych w danym rok kalendarzowym.   </w:t>
      </w:r>
    </w:p>
  </w:footnote>
  <w:footnote w:id="3">
    <w:p w:rsidR="00C055BF" w:rsidRPr="002D7250" w:rsidRDefault="00C055BF" w:rsidP="00462C8E">
      <w:pPr>
        <w:pStyle w:val="Tekstprzypisudolnego"/>
        <w:contextualSpacing/>
        <w:rPr>
          <w:rFonts w:ascii="Times New Roman" w:hAnsi="Times New Roman" w:cs="Times New Roman"/>
          <w:sz w:val="18"/>
          <w:szCs w:val="18"/>
        </w:rPr>
      </w:pPr>
      <w:r w:rsidRPr="002D725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7250">
        <w:rPr>
          <w:rFonts w:ascii="Times New Roman" w:hAnsi="Times New Roman" w:cs="Times New Roman"/>
          <w:sz w:val="18"/>
          <w:szCs w:val="18"/>
        </w:rPr>
        <w:t xml:space="preserve"> W 2011 r. liczba zarejestrowanych spraw z art. </w:t>
      </w:r>
      <w:smartTag w:uri="urn:schemas-microsoft-com:office:smarttags" w:element="metricconverter">
        <w:smartTagPr>
          <w:attr w:name="ProductID" w:val="189 a"/>
        </w:smartTagPr>
        <w:r w:rsidRPr="002D7250">
          <w:rPr>
            <w:rFonts w:ascii="Times New Roman" w:hAnsi="Times New Roman" w:cs="Times New Roman"/>
            <w:sz w:val="18"/>
            <w:szCs w:val="18"/>
          </w:rPr>
          <w:t>189 a</w:t>
        </w:r>
      </w:smartTag>
      <w:r w:rsidRPr="002D7250">
        <w:rPr>
          <w:rFonts w:ascii="Times New Roman" w:hAnsi="Times New Roman" w:cs="Times New Roman"/>
          <w:sz w:val="18"/>
          <w:szCs w:val="18"/>
        </w:rPr>
        <w:t xml:space="preserve"> § 1 k.k. wynosiła 51, z art. 189 a § 2 </w:t>
      </w:r>
      <w:r w:rsidRPr="002D7250">
        <w:rPr>
          <w:rFonts w:ascii="Times New Roman" w:hAnsi="Times New Roman" w:cs="Times New Roman"/>
          <w:i/>
          <w:sz w:val="18"/>
          <w:szCs w:val="18"/>
        </w:rPr>
        <w:t>kk</w:t>
      </w:r>
      <w:r w:rsidRPr="002D7250">
        <w:rPr>
          <w:rFonts w:ascii="Times New Roman" w:hAnsi="Times New Roman" w:cs="Times New Roman"/>
          <w:sz w:val="18"/>
          <w:szCs w:val="18"/>
        </w:rPr>
        <w:t xml:space="preserve">. – 1. </w:t>
      </w:r>
    </w:p>
  </w:footnote>
  <w:footnote w:id="4">
    <w:p w:rsidR="00C055BF" w:rsidRPr="002D7250" w:rsidRDefault="00C055BF" w:rsidP="00462C8E">
      <w:pPr>
        <w:pStyle w:val="Tekstprzypisudolnego"/>
        <w:contextualSpacing/>
        <w:rPr>
          <w:rFonts w:ascii="Times New Roman" w:hAnsi="Times New Roman" w:cs="Times New Roman"/>
          <w:sz w:val="18"/>
          <w:szCs w:val="18"/>
        </w:rPr>
      </w:pPr>
      <w:r w:rsidRPr="002D725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7250">
        <w:rPr>
          <w:rFonts w:ascii="Times New Roman" w:hAnsi="Times New Roman" w:cs="Times New Roman"/>
          <w:sz w:val="18"/>
          <w:szCs w:val="18"/>
        </w:rPr>
        <w:t xml:space="preserve"> W 2012 r. liczba zarejestrowanych spraw z art. </w:t>
      </w:r>
      <w:smartTag w:uri="urn:schemas-microsoft-com:office:smarttags" w:element="metricconverter">
        <w:smartTagPr>
          <w:attr w:name="ProductID" w:val="189 a"/>
        </w:smartTagPr>
        <w:r w:rsidRPr="002D7250">
          <w:rPr>
            <w:rFonts w:ascii="Times New Roman" w:hAnsi="Times New Roman" w:cs="Times New Roman"/>
            <w:sz w:val="18"/>
            <w:szCs w:val="18"/>
          </w:rPr>
          <w:t>189 a</w:t>
        </w:r>
      </w:smartTag>
      <w:r w:rsidRPr="002D7250">
        <w:rPr>
          <w:rFonts w:ascii="Times New Roman" w:hAnsi="Times New Roman" w:cs="Times New Roman"/>
          <w:sz w:val="18"/>
          <w:szCs w:val="18"/>
        </w:rPr>
        <w:t xml:space="preserve"> § 1 k.k. wynosiła 62, z art. </w:t>
      </w:r>
      <w:smartTag w:uri="urn:schemas-microsoft-com:office:smarttags" w:element="metricconverter">
        <w:smartTagPr>
          <w:attr w:name="ProductID" w:val="189 a"/>
        </w:smartTagPr>
        <w:r w:rsidRPr="002D7250">
          <w:rPr>
            <w:rFonts w:ascii="Times New Roman" w:hAnsi="Times New Roman" w:cs="Times New Roman"/>
            <w:sz w:val="18"/>
            <w:szCs w:val="18"/>
          </w:rPr>
          <w:t>189 a</w:t>
        </w:r>
      </w:smartTag>
      <w:r w:rsidRPr="002D7250">
        <w:rPr>
          <w:rFonts w:ascii="Times New Roman" w:hAnsi="Times New Roman" w:cs="Times New Roman"/>
          <w:sz w:val="18"/>
          <w:szCs w:val="18"/>
        </w:rPr>
        <w:t xml:space="preserve"> § 2 </w:t>
      </w:r>
      <w:r w:rsidRPr="002D7250">
        <w:rPr>
          <w:rFonts w:ascii="Times New Roman" w:hAnsi="Times New Roman" w:cs="Times New Roman"/>
          <w:i/>
          <w:sz w:val="18"/>
          <w:szCs w:val="18"/>
        </w:rPr>
        <w:t>kk</w:t>
      </w:r>
      <w:r w:rsidRPr="002D7250">
        <w:rPr>
          <w:rFonts w:ascii="Times New Roman" w:hAnsi="Times New Roman" w:cs="Times New Roman"/>
          <w:sz w:val="18"/>
          <w:szCs w:val="18"/>
        </w:rPr>
        <w:t xml:space="preserve">. – 3. </w:t>
      </w:r>
    </w:p>
  </w:footnote>
  <w:footnote w:id="5">
    <w:p w:rsidR="00C055BF" w:rsidRPr="002D7250" w:rsidRDefault="00C055BF" w:rsidP="00462C8E">
      <w:pPr>
        <w:pStyle w:val="Tekstprzypisudolnego"/>
        <w:contextualSpacing/>
        <w:rPr>
          <w:rFonts w:ascii="Times New Roman" w:hAnsi="Times New Roman" w:cs="Times New Roman"/>
          <w:sz w:val="18"/>
          <w:szCs w:val="18"/>
        </w:rPr>
      </w:pPr>
      <w:r w:rsidRPr="002D725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D7250">
        <w:rPr>
          <w:rFonts w:ascii="Times New Roman" w:hAnsi="Times New Roman" w:cs="Times New Roman"/>
          <w:sz w:val="18"/>
          <w:szCs w:val="18"/>
        </w:rPr>
        <w:t xml:space="preserve"> W 2013 r. liczba zarejestrowanych spraw z art. </w:t>
      </w:r>
      <w:smartTag w:uri="urn:schemas-microsoft-com:office:smarttags" w:element="metricconverter">
        <w:smartTagPr>
          <w:attr w:name="ProductID" w:val="189 a"/>
        </w:smartTagPr>
        <w:r w:rsidRPr="002D7250">
          <w:rPr>
            <w:rFonts w:ascii="Times New Roman" w:hAnsi="Times New Roman" w:cs="Times New Roman"/>
            <w:sz w:val="18"/>
            <w:szCs w:val="18"/>
          </w:rPr>
          <w:t>189 a</w:t>
        </w:r>
      </w:smartTag>
      <w:r w:rsidRPr="002D7250">
        <w:rPr>
          <w:rFonts w:ascii="Times New Roman" w:hAnsi="Times New Roman" w:cs="Times New Roman"/>
          <w:sz w:val="18"/>
          <w:szCs w:val="18"/>
        </w:rPr>
        <w:t xml:space="preserve"> § 1 k.k. wynosiła 54, z art. </w:t>
      </w:r>
      <w:smartTag w:uri="urn:schemas-microsoft-com:office:smarttags" w:element="metricconverter">
        <w:smartTagPr>
          <w:attr w:name="ProductID" w:val="189 a"/>
        </w:smartTagPr>
        <w:r w:rsidRPr="002D7250">
          <w:rPr>
            <w:rFonts w:ascii="Times New Roman" w:hAnsi="Times New Roman" w:cs="Times New Roman"/>
            <w:sz w:val="18"/>
            <w:szCs w:val="18"/>
          </w:rPr>
          <w:t>189 a</w:t>
        </w:r>
      </w:smartTag>
      <w:r w:rsidRPr="002D7250">
        <w:rPr>
          <w:rFonts w:ascii="Times New Roman" w:hAnsi="Times New Roman" w:cs="Times New Roman"/>
          <w:sz w:val="18"/>
          <w:szCs w:val="18"/>
        </w:rPr>
        <w:t xml:space="preserve"> § 2 </w:t>
      </w:r>
      <w:r w:rsidRPr="002D7250">
        <w:rPr>
          <w:rFonts w:ascii="Times New Roman" w:hAnsi="Times New Roman" w:cs="Times New Roman"/>
          <w:i/>
          <w:sz w:val="18"/>
          <w:szCs w:val="18"/>
        </w:rPr>
        <w:t>kk</w:t>
      </w:r>
      <w:r w:rsidRPr="002D7250">
        <w:rPr>
          <w:rFonts w:ascii="Times New Roman" w:hAnsi="Times New Roman" w:cs="Times New Roman"/>
          <w:sz w:val="18"/>
          <w:szCs w:val="18"/>
        </w:rPr>
        <w:t xml:space="preserve">. – 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506"/>
    <w:multiLevelType w:val="hybridMultilevel"/>
    <w:tmpl w:val="AC9EA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6A98"/>
    <w:multiLevelType w:val="hybridMultilevel"/>
    <w:tmpl w:val="3A565F1A"/>
    <w:lvl w:ilvl="0" w:tplc="A4D61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2E15"/>
    <w:multiLevelType w:val="hybridMultilevel"/>
    <w:tmpl w:val="1938B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205E"/>
    <w:multiLevelType w:val="hybridMultilevel"/>
    <w:tmpl w:val="93942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1CDB"/>
    <w:multiLevelType w:val="hybridMultilevel"/>
    <w:tmpl w:val="A8F4221E"/>
    <w:lvl w:ilvl="0" w:tplc="87067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8"/>
    <w:rsid w:val="00000A69"/>
    <w:rsid w:val="00013795"/>
    <w:rsid w:val="00013B3C"/>
    <w:rsid w:val="00015EAE"/>
    <w:rsid w:val="00016E24"/>
    <w:rsid w:val="000228BC"/>
    <w:rsid w:val="00024989"/>
    <w:rsid w:val="000265B4"/>
    <w:rsid w:val="000267CE"/>
    <w:rsid w:val="00034A23"/>
    <w:rsid w:val="00044211"/>
    <w:rsid w:val="000448E6"/>
    <w:rsid w:val="00050428"/>
    <w:rsid w:val="000556CD"/>
    <w:rsid w:val="00057839"/>
    <w:rsid w:val="000608B2"/>
    <w:rsid w:val="000744E7"/>
    <w:rsid w:val="00074B55"/>
    <w:rsid w:val="0007580E"/>
    <w:rsid w:val="00075BE6"/>
    <w:rsid w:val="0007601D"/>
    <w:rsid w:val="000827FC"/>
    <w:rsid w:val="00083245"/>
    <w:rsid w:val="00086604"/>
    <w:rsid w:val="00094C82"/>
    <w:rsid w:val="000B25CF"/>
    <w:rsid w:val="000B3197"/>
    <w:rsid w:val="000C05A9"/>
    <w:rsid w:val="000C7174"/>
    <w:rsid w:val="000D1A16"/>
    <w:rsid w:val="000E117A"/>
    <w:rsid w:val="00101D6F"/>
    <w:rsid w:val="00104EAE"/>
    <w:rsid w:val="00104EB5"/>
    <w:rsid w:val="00106BCF"/>
    <w:rsid w:val="00110C4D"/>
    <w:rsid w:val="00112332"/>
    <w:rsid w:val="00123873"/>
    <w:rsid w:val="00127000"/>
    <w:rsid w:val="001416DE"/>
    <w:rsid w:val="001453A1"/>
    <w:rsid w:val="001469D2"/>
    <w:rsid w:val="0015205A"/>
    <w:rsid w:val="001555DA"/>
    <w:rsid w:val="00155874"/>
    <w:rsid w:val="00156794"/>
    <w:rsid w:val="001655B1"/>
    <w:rsid w:val="0016769F"/>
    <w:rsid w:val="00167EEA"/>
    <w:rsid w:val="0018305E"/>
    <w:rsid w:val="00185668"/>
    <w:rsid w:val="00190A8E"/>
    <w:rsid w:val="001933DE"/>
    <w:rsid w:val="001A4B15"/>
    <w:rsid w:val="001A6A8F"/>
    <w:rsid w:val="001A78B0"/>
    <w:rsid w:val="001B0D77"/>
    <w:rsid w:val="001B26E7"/>
    <w:rsid w:val="001E3423"/>
    <w:rsid w:val="001E7720"/>
    <w:rsid w:val="001F1938"/>
    <w:rsid w:val="001F4303"/>
    <w:rsid w:val="001F723E"/>
    <w:rsid w:val="0020260D"/>
    <w:rsid w:val="002037CD"/>
    <w:rsid w:val="00213085"/>
    <w:rsid w:val="00221291"/>
    <w:rsid w:val="00224064"/>
    <w:rsid w:val="002257FC"/>
    <w:rsid w:val="00231C89"/>
    <w:rsid w:val="002334CF"/>
    <w:rsid w:val="00233ACA"/>
    <w:rsid w:val="0024083E"/>
    <w:rsid w:val="00244477"/>
    <w:rsid w:val="00254706"/>
    <w:rsid w:val="00257E23"/>
    <w:rsid w:val="00285D6B"/>
    <w:rsid w:val="002A0566"/>
    <w:rsid w:val="002A0AAD"/>
    <w:rsid w:val="002A0EEB"/>
    <w:rsid w:val="002A216B"/>
    <w:rsid w:val="002A4838"/>
    <w:rsid w:val="002B0AB6"/>
    <w:rsid w:val="002C4F72"/>
    <w:rsid w:val="002C5A94"/>
    <w:rsid w:val="002D4B46"/>
    <w:rsid w:val="002D4C3C"/>
    <w:rsid w:val="002D4D28"/>
    <w:rsid w:val="002F7F95"/>
    <w:rsid w:val="00302504"/>
    <w:rsid w:val="00305DD0"/>
    <w:rsid w:val="00307E2E"/>
    <w:rsid w:val="00310C5D"/>
    <w:rsid w:val="003237EB"/>
    <w:rsid w:val="00323923"/>
    <w:rsid w:val="00323DDC"/>
    <w:rsid w:val="003406C4"/>
    <w:rsid w:val="00340BDB"/>
    <w:rsid w:val="00346624"/>
    <w:rsid w:val="00347093"/>
    <w:rsid w:val="00350431"/>
    <w:rsid w:val="003730AC"/>
    <w:rsid w:val="003751D0"/>
    <w:rsid w:val="0037778C"/>
    <w:rsid w:val="003868D5"/>
    <w:rsid w:val="00391790"/>
    <w:rsid w:val="003922C4"/>
    <w:rsid w:val="00392CF2"/>
    <w:rsid w:val="003A2C39"/>
    <w:rsid w:val="003A39DA"/>
    <w:rsid w:val="003A3CDA"/>
    <w:rsid w:val="003A7D05"/>
    <w:rsid w:val="003B00BD"/>
    <w:rsid w:val="003B048F"/>
    <w:rsid w:val="003B0A6E"/>
    <w:rsid w:val="003B7217"/>
    <w:rsid w:val="003C2A7C"/>
    <w:rsid w:val="003C64F5"/>
    <w:rsid w:val="003C666C"/>
    <w:rsid w:val="003D7C9C"/>
    <w:rsid w:val="004034B6"/>
    <w:rsid w:val="0040716A"/>
    <w:rsid w:val="00414CF1"/>
    <w:rsid w:val="00423FA8"/>
    <w:rsid w:val="004347C4"/>
    <w:rsid w:val="0043691A"/>
    <w:rsid w:val="00443550"/>
    <w:rsid w:val="00454F1F"/>
    <w:rsid w:val="004627A4"/>
    <w:rsid w:val="00462C8E"/>
    <w:rsid w:val="0046331E"/>
    <w:rsid w:val="00466384"/>
    <w:rsid w:val="00476777"/>
    <w:rsid w:val="00484B98"/>
    <w:rsid w:val="004973E1"/>
    <w:rsid w:val="004A2E96"/>
    <w:rsid w:val="004A5A91"/>
    <w:rsid w:val="004B1D15"/>
    <w:rsid w:val="004B1FB0"/>
    <w:rsid w:val="004B3D1A"/>
    <w:rsid w:val="004C085C"/>
    <w:rsid w:val="004D0005"/>
    <w:rsid w:val="004D2B3A"/>
    <w:rsid w:val="004D57E4"/>
    <w:rsid w:val="004F259F"/>
    <w:rsid w:val="0050542B"/>
    <w:rsid w:val="0050625C"/>
    <w:rsid w:val="00527BB6"/>
    <w:rsid w:val="005312C6"/>
    <w:rsid w:val="005333C7"/>
    <w:rsid w:val="00535C76"/>
    <w:rsid w:val="00550A3F"/>
    <w:rsid w:val="00550FBF"/>
    <w:rsid w:val="0055133A"/>
    <w:rsid w:val="00552CBB"/>
    <w:rsid w:val="00553226"/>
    <w:rsid w:val="005551A0"/>
    <w:rsid w:val="00562DF6"/>
    <w:rsid w:val="00566B9F"/>
    <w:rsid w:val="00581F84"/>
    <w:rsid w:val="00583D07"/>
    <w:rsid w:val="005849D5"/>
    <w:rsid w:val="005923BB"/>
    <w:rsid w:val="005A67C8"/>
    <w:rsid w:val="005B3F82"/>
    <w:rsid w:val="005C6621"/>
    <w:rsid w:val="005D2687"/>
    <w:rsid w:val="005D6959"/>
    <w:rsid w:val="005E19E7"/>
    <w:rsid w:val="005E2924"/>
    <w:rsid w:val="005E3621"/>
    <w:rsid w:val="005E542B"/>
    <w:rsid w:val="005E671F"/>
    <w:rsid w:val="005F2D09"/>
    <w:rsid w:val="005F34C3"/>
    <w:rsid w:val="006011CA"/>
    <w:rsid w:val="0061129B"/>
    <w:rsid w:val="00615CE3"/>
    <w:rsid w:val="00620E9F"/>
    <w:rsid w:val="00626826"/>
    <w:rsid w:val="0063497D"/>
    <w:rsid w:val="00640580"/>
    <w:rsid w:val="006413F2"/>
    <w:rsid w:val="00645187"/>
    <w:rsid w:val="00647566"/>
    <w:rsid w:val="00653DB4"/>
    <w:rsid w:val="00655BC1"/>
    <w:rsid w:val="00660527"/>
    <w:rsid w:val="006617FB"/>
    <w:rsid w:val="00673C6B"/>
    <w:rsid w:val="006B391C"/>
    <w:rsid w:val="006B7A8A"/>
    <w:rsid w:val="006C06F6"/>
    <w:rsid w:val="006C5933"/>
    <w:rsid w:val="006C76E9"/>
    <w:rsid w:val="006C7DA9"/>
    <w:rsid w:val="006D14C1"/>
    <w:rsid w:val="006D59BE"/>
    <w:rsid w:val="006E75E7"/>
    <w:rsid w:val="006F12D2"/>
    <w:rsid w:val="006F2572"/>
    <w:rsid w:val="006F41A4"/>
    <w:rsid w:val="006F7A70"/>
    <w:rsid w:val="007029F8"/>
    <w:rsid w:val="007100AA"/>
    <w:rsid w:val="007130F2"/>
    <w:rsid w:val="00713DB8"/>
    <w:rsid w:val="00714718"/>
    <w:rsid w:val="00715117"/>
    <w:rsid w:val="007230EB"/>
    <w:rsid w:val="0072432B"/>
    <w:rsid w:val="00726DBB"/>
    <w:rsid w:val="00731986"/>
    <w:rsid w:val="00735AD6"/>
    <w:rsid w:val="00741699"/>
    <w:rsid w:val="0074195E"/>
    <w:rsid w:val="00741CFA"/>
    <w:rsid w:val="007465D5"/>
    <w:rsid w:val="00747AB0"/>
    <w:rsid w:val="00750DCF"/>
    <w:rsid w:val="00752D0C"/>
    <w:rsid w:val="00752E0B"/>
    <w:rsid w:val="00756D89"/>
    <w:rsid w:val="00757A71"/>
    <w:rsid w:val="00757FA8"/>
    <w:rsid w:val="007635D2"/>
    <w:rsid w:val="00765C71"/>
    <w:rsid w:val="007664B3"/>
    <w:rsid w:val="007727C3"/>
    <w:rsid w:val="00772CCB"/>
    <w:rsid w:val="00776C25"/>
    <w:rsid w:val="007A3490"/>
    <w:rsid w:val="007A4286"/>
    <w:rsid w:val="007C628E"/>
    <w:rsid w:val="007C738D"/>
    <w:rsid w:val="007D0181"/>
    <w:rsid w:val="007D0918"/>
    <w:rsid w:val="007D0F29"/>
    <w:rsid w:val="007E129C"/>
    <w:rsid w:val="007F0CAB"/>
    <w:rsid w:val="008005CB"/>
    <w:rsid w:val="00810F1F"/>
    <w:rsid w:val="0081439D"/>
    <w:rsid w:val="00816090"/>
    <w:rsid w:val="0082093A"/>
    <w:rsid w:val="00825A0D"/>
    <w:rsid w:val="00834C55"/>
    <w:rsid w:val="008400BC"/>
    <w:rsid w:val="008402EE"/>
    <w:rsid w:val="00844897"/>
    <w:rsid w:val="00847272"/>
    <w:rsid w:val="00847C5F"/>
    <w:rsid w:val="00850314"/>
    <w:rsid w:val="00850E95"/>
    <w:rsid w:val="008569FE"/>
    <w:rsid w:val="00864599"/>
    <w:rsid w:val="008673B1"/>
    <w:rsid w:val="008740B1"/>
    <w:rsid w:val="00874BDD"/>
    <w:rsid w:val="00877C08"/>
    <w:rsid w:val="00882FE0"/>
    <w:rsid w:val="00887533"/>
    <w:rsid w:val="0089447B"/>
    <w:rsid w:val="008A075B"/>
    <w:rsid w:val="008A2C98"/>
    <w:rsid w:val="008A5895"/>
    <w:rsid w:val="008A69FC"/>
    <w:rsid w:val="008B1673"/>
    <w:rsid w:val="008B29A7"/>
    <w:rsid w:val="008B7701"/>
    <w:rsid w:val="008B7F61"/>
    <w:rsid w:val="008C7838"/>
    <w:rsid w:val="008D0876"/>
    <w:rsid w:val="008D1258"/>
    <w:rsid w:val="008D3FBD"/>
    <w:rsid w:val="008D5C34"/>
    <w:rsid w:val="008E0057"/>
    <w:rsid w:val="008E37BA"/>
    <w:rsid w:val="008F00B8"/>
    <w:rsid w:val="008F2472"/>
    <w:rsid w:val="008F4C2E"/>
    <w:rsid w:val="00900768"/>
    <w:rsid w:val="00901B00"/>
    <w:rsid w:val="009038E1"/>
    <w:rsid w:val="00911776"/>
    <w:rsid w:val="00912D8A"/>
    <w:rsid w:val="0092654B"/>
    <w:rsid w:val="00933E9C"/>
    <w:rsid w:val="0093526E"/>
    <w:rsid w:val="00940089"/>
    <w:rsid w:val="00946918"/>
    <w:rsid w:val="0095313B"/>
    <w:rsid w:val="00957052"/>
    <w:rsid w:val="00964568"/>
    <w:rsid w:val="009650EC"/>
    <w:rsid w:val="00965E65"/>
    <w:rsid w:val="009708E1"/>
    <w:rsid w:val="00974BE6"/>
    <w:rsid w:val="00981467"/>
    <w:rsid w:val="009976A1"/>
    <w:rsid w:val="009A2B82"/>
    <w:rsid w:val="009B6176"/>
    <w:rsid w:val="009B7AA9"/>
    <w:rsid w:val="009D0B0B"/>
    <w:rsid w:val="009D3AB5"/>
    <w:rsid w:val="009E62A2"/>
    <w:rsid w:val="009F4249"/>
    <w:rsid w:val="00A0078D"/>
    <w:rsid w:val="00A01F11"/>
    <w:rsid w:val="00A0213B"/>
    <w:rsid w:val="00A13CCB"/>
    <w:rsid w:val="00A15AB2"/>
    <w:rsid w:val="00A20190"/>
    <w:rsid w:val="00A275E7"/>
    <w:rsid w:val="00A3130E"/>
    <w:rsid w:val="00A31A2B"/>
    <w:rsid w:val="00A32D02"/>
    <w:rsid w:val="00A3369D"/>
    <w:rsid w:val="00A53BF6"/>
    <w:rsid w:val="00A60450"/>
    <w:rsid w:val="00A6304B"/>
    <w:rsid w:val="00A73A01"/>
    <w:rsid w:val="00A7632C"/>
    <w:rsid w:val="00A7746D"/>
    <w:rsid w:val="00A846D1"/>
    <w:rsid w:val="00A859A5"/>
    <w:rsid w:val="00A86A26"/>
    <w:rsid w:val="00A90AD8"/>
    <w:rsid w:val="00A96277"/>
    <w:rsid w:val="00AA2A6D"/>
    <w:rsid w:val="00AA4E09"/>
    <w:rsid w:val="00AB021B"/>
    <w:rsid w:val="00AB0F4A"/>
    <w:rsid w:val="00AB1F6D"/>
    <w:rsid w:val="00AC6520"/>
    <w:rsid w:val="00AD408A"/>
    <w:rsid w:val="00AE4CD9"/>
    <w:rsid w:val="00AE5272"/>
    <w:rsid w:val="00AE6729"/>
    <w:rsid w:val="00B04720"/>
    <w:rsid w:val="00B1144B"/>
    <w:rsid w:val="00B16D2A"/>
    <w:rsid w:val="00B2011B"/>
    <w:rsid w:val="00B24B16"/>
    <w:rsid w:val="00B27377"/>
    <w:rsid w:val="00B273E6"/>
    <w:rsid w:val="00B2769F"/>
    <w:rsid w:val="00B30555"/>
    <w:rsid w:val="00B30FB8"/>
    <w:rsid w:val="00B36899"/>
    <w:rsid w:val="00B4390D"/>
    <w:rsid w:val="00B45797"/>
    <w:rsid w:val="00B509E3"/>
    <w:rsid w:val="00B54F92"/>
    <w:rsid w:val="00B554CB"/>
    <w:rsid w:val="00B65620"/>
    <w:rsid w:val="00B6704E"/>
    <w:rsid w:val="00B71DB1"/>
    <w:rsid w:val="00B73A9E"/>
    <w:rsid w:val="00B73D70"/>
    <w:rsid w:val="00B756A7"/>
    <w:rsid w:val="00B82A09"/>
    <w:rsid w:val="00B83573"/>
    <w:rsid w:val="00B85012"/>
    <w:rsid w:val="00B865C3"/>
    <w:rsid w:val="00B918A9"/>
    <w:rsid w:val="00B92645"/>
    <w:rsid w:val="00BA39B6"/>
    <w:rsid w:val="00BA5E13"/>
    <w:rsid w:val="00BB02C8"/>
    <w:rsid w:val="00BB0346"/>
    <w:rsid w:val="00BB042D"/>
    <w:rsid w:val="00BC4B14"/>
    <w:rsid w:val="00BD4C5C"/>
    <w:rsid w:val="00BE74CB"/>
    <w:rsid w:val="00BF5176"/>
    <w:rsid w:val="00BF7EBC"/>
    <w:rsid w:val="00C01659"/>
    <w:rsid w:val="00C055BF"/>
    <w:rsid w:val="00C069C9"/>
    <w:rsid w:val="00C105AE"/>
    <w:rsid w:val="00C136DD"/>
    <w:rsid w:val="00C14EA7"/>
    <w:rsid w:val="00C162EF"/>
    <w:rsid w:val="00C30832"/>
    <w:rsid w:val="00C346D2"/>
    <w:rsid w:val="00C35E8D"/>
    <w:rsid w:val="00C43718"/>
    <w:rsid w:val="00C44B48"/>
    <w:rsid w:val="00C54A96"/>
    <w:rsid w:val="00C6661D"/>
    <w:rsid w:val="00C72FF2"/>
    <w:rsid w:val="00C85FA8"/>
    <w:rsid w:val="00C90367"/>
    <w:rsid w:val="00C932A2"/>
    <w:rsid w:val="00C93801"/>
    <w:rsid w:val="00C946A9"/>
    <w:rsid w:val="00C94ADB"/>
    <w:rsid w:val="00CA44F3"/>
    <w:rsid w:val="00CA5337"/>
    <w:rsid w:val="00CB6EF6"/>
    <w:rsid w:val="00CC020F"/>
    <w:rsid w:val="00CD10A0"/>
    <w:rsid w:val="00CE030F"/>
    <w:rsid w:val="00CE5951"/>
    <w:rsid w:val="00CE6772"/>
    <w:rsid w:val="00CE67A9"/>
    <w:rsid w:val="00D023EA"/>
    <w:rsid w:val="00D12C33"/>
    <w:rsid w:val="00D345DA"/>
    <w:rsid w:val="00D34910"/>
    <w:rsid w:val="00D45DF3"/>
    <w:rsid w:val="00D53850"/>
    <w:rsid w:val="00D6416F"/>
    <w:rsid w:val="00D67AC0"/>
    <w:rsid w:val="00D70FF0"/>
    <w:rsid w:val="00D762F1"/>
    <w:rsid w:val="00D82074"/>
    <w:rsid w:val="00D87136"/>
    <w:rsid w:val="00D872CD"/>
    <w:rsid w:val="00D95C21"/>
    <w:rsid w:val="00DA1F87"/>
    <w:rsid w:val="00DA7756"/>
    <w:rsid w:val="00DB0CF4"/>
    <w:rsid w:val="00DB185C"/>
    <w:rsid w:val="00DB4466"/>
    <w:rsid w:val="00DC154D"/>
    <w:rsid w:val="00DC6686"/>
    <w:rsid w:val="00DD0C32"/>
    <w:rsid w:val="00DD6B3E"/>
    <w:rsid w:val="00DE21AC"/>
    <w:rsid w:val="00DE4BAB"/>
    <w:rsid w:val="00DE544D"/>
    <w:rsid w:val="00DE5A14"/>
    <w:rsid w:val="00DF2C59"/>
    <w:rsid w:val="00DF44B6"/>
    <w:rsid w:val="00DF7391"/>
    <w:rsid w:val="00E005F3"/>
    <w:rsid w:val="00E01D86"/>
    <w:rsid w:val="00E05438"/>
    <w:rsid w:val="00E05B72"/>
    <w:rsid w:val="00E07AD1"/>
    <w:rsid w:val="00E10AAC"/>
    <w:rsid w:val="00E21282"/>
    <w:rsid w:val="00E30A02"/>
    <w:rsid w:val="00E324A0"/>
    <w:rsid w:val="00E37B86"/>
    <w:rsid w:val="00E4246F"/>
    <w:rsid w:val="00E432A2"/>
    <w:rsid w:val="00E46B3B"/>
    <w:rsid w:val="00E50F63"/>
    <w:rsid w:val="00E5387B"/>
    <w:rsid w:val="00E56787"/>
    <w:rsid w:val="00E614C9"/>
    <w:rsid w:val="00E772B8"/>
    <w:rsid w:val="00E969CC"/>
    <w:rsid w:val="00EA2747"/>
    <w:rsid w:val="00EB7039"/>
    <w:rsid w:val="00EC7F7E"/>
    <w:rsid w:val="00ED3015"/>
    <w:rsid w:val="00EE2395"/>
    <w:rsid w:val="00EE5270"/>
    <w:rsid w:val="00EE5870"/>
    <w:rsid w:val="00EE6943"/>
    <w:rsid w:val="00EE6F48"/>
    <w:rsid w:val="00EF32C3"/>
    <w:rsid w:val="00EF3489"/>
    <w:rsid w:val="00EF40B3"/>
    <w:rsid w:val="00EF42CA"/>
    <w:rsid w:val="00F0199F"/>
    <w:rsid w:val="00F02DC3"/>
    <w:rsid w:val="00F05FB8"/>
    <w:rsid w:val="00F101D1"/>
    <w:rsid w:val="00F2379E"/>
    <w:rsid w:val="00F276FA"/>
    <w:rsid w:val="00F30734"/>
    <w:rsid w:val="00F31C1C"/>
    <w:rsid w:val="00F325D0"/>
    <w:rsid w:val="00F355DF"/>
    <w:rsid w:val="00F4239C"/>
    <w:rsid w:val="00F54AF2"/>
    <w:rsid w:val="00F80492"/>
    <w:rsid w:val="00F804FA"/>
    <w:rsid w:val="00F81E5A"/>
    <w:rsid w:val="00F82000"/>
    <w:rsid w:val="00F86E08"/>
    <w:rsid w:val="00F945B4"/>
    <w:rsid w:val="00FA16C3"/>
    <w:rsid w:val="00FA4ED1"/>
    <w:rsid w:val="00FA72A7"/>
    <w:rsid w:val="00FA7A4C"/>
    <w:rsid w:val="00FB702B"/>
    <w:rsid w:val="00FC0BB8"/>
    <w:rsid w:val="00FD1F67"/>
    <w:rsid w:val="00FD28CD"/>
    <w:rsid w:val="00FD345E"/>
    <w:rsid w:val="00FD44CA"/>
    <w:rsid w:val="00FD5838"/>
    <w:rsid w:val="00FE188A"/>
    <w:rsid w:val="00FF00A7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C8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2C8E"/>
    <w:rPr>
      <w:vertAlign w:val="superscript"/>
    </w:rPr>
  </w:style>
  <w:style w:type="table" w:styleId="Tabela-Siatka">
    <w:name w:val="Table Grid"/>
    <w:basedOn w:val="Standardowy"/>
    <w:uiPriority w:val="59"/>
    <w:rsid w:val="00C1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57"/>
    <w:rPr>
      <w:rFonts w:ascii="Tahoma" w:hAnsi="Tahoma" w:cs="Tahoma"/>
      <w:sz w:val="16"/>
      <w:szCs w:val="16"/>
    </w:rPr>
  </w:style>
  <w:style w:type="paragraph" w:customStyle="1" w:styleId="mjtekst">
    <w:name w:val="mój tekst"/>
    <w:basedOn w:val="Normalny"/>
    <w:uiPriority w:val="99"/>
    <w:rsid w:val="00B918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918"/>
  </w:style>
  <w:style w:type="paragraph" w:styleId="Stopka">
    <w:name w:val="footer"/>
    <w:basedOn w:val="Normalny"/>
    <w:link w:val="StopkaZnak"/>
    <w:uiPriority w:val="99"/>
    <w:unhideWhenUsed/>
    <w:rsid w:val="009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C8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62C8E"/>
    <w:rPr>
      <w:vertAlign w:val="superscript"/>
    </w:rPr>
  </w:style>
  <w:style w:type="table" w:styleId="Tabela-Siatka">
    <w:name w:val="Table Grid"/>
    <w:basedOn w:val="Standardowy"/>
    <w:uiPriority w:val="59"/>
    <w:rsid w:val="00C1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57"/>
    <w:rPr>
      <w:rFonts w:ascii="Tahoma" w:hAnsi="Tahoma" w:cs="Tahoma"/>
      <w:sz w:val="16"/>
      <w:szCs w:val="16"/>
    </w:rPr>
  </w:style>
  <w:style w:type="paragraph" w:customStyle="1" w:styleId="mjtekst">
    <w:name w:val="mój tekst"/>
    <w:basedOn w:val="Normalny"/>
    <w:uiPriority w:val="99"/>
    <w:rsid w:val="00B918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918"/>
  </w:style>
  <w:style w:type="paragraph" w:styleId="Stopka">
    <w:name w:val="footer"/>
    <w:basedOn w:val="Normalny"/>
    <w:link w:val="StopkaZnak"/>
    <w:uiPriority w:val="99"/>
    <w:unhideWhenUsed/>
    <w:rsid w:val="0094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336A-28B5-42B7-8516-D8F5AAB5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4957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Deptuła Wojciech  (DWMPC)</dc:creator>
  <cp:keywords/>
  <dc:description/>
  <cp:lastModifiedBy>Deptuła Wojciech  (DWMPC)</cp:lastModifiedBy>
  <cp:revision>356</cp:revision>
  <dcterms:created xsi:type="dcterms:W3CDTF">2015-04-17T08:02:00Z</dcterms:created>
  <dcterms:modified xsi:type="dcterms:W3CDTF">2015-09-28T10:01:00Z</dcterms:modified>
</cp:coreProperties>
</file>